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Times New Roman" w:hAnsi="Calibri" w:cs="Calibri"/>
          <w:sz w:val="2"/>
          <w:szCs w:val="20"/>
          <w:lang w:val="fo-FO" w:eastAsia="da-DK"/>
        </w:rPr>
        <w:id w:val="-1814471396"/>
        <w:docPartObj>
          <w:docPartGallery w:val="Cover Pages"/>
          <w:docPartUnique/>
        </w:docPartObj>
      </w:sdtPr>
      <w:sdtEndPr>
        <w:rPr>
          <w:b/>
          <w:sz w:val="22"/>
        </w:rPr>
      </w:sdtEndPr>
      <w:sdtContent>
        <w:p w14:paraId="5F568696" w14:textId="587C3E0E" w:rsidR="006409BE" w:rsidRPr="00F043AA" w:rsidRDefault="006409BE">
          <w:pPr>
            <w:pStyle w:val="NoSpacing"/>
            <w:rPr>
              <w:rFonts w:ascii="Calibri" w:hAnsi="Calibri" w:cs="Calibri"/>
              <w:sz w:val="2"/>
              <w:lang w:val="fo-FO"/>
            </w:rPr>
          </w:pPr>
        </w:p>
        <w:p w14:paraId="157609AD" w14:textId="46B6ECDD" w:rsidR="006409BE" w:rsidRPr="00F043AA" w:rsidRDefault="006409BE">
          <w:pPr>
            <w:rPr>
              <w:rFonts w:cs="Calibri"/>
              <w:lang w:val="fo-FO"/>
            </w:rPr>
          </w:pPr>
        </w:p>
        <w:p w14:paraId="2C3C66D1" w14:textId="77777777" w:rsidR="00F02B1B" w:rsidRPr="00F043AA" w:rsidRDefault="00F02B1B" w:rsidP="000A648C">
          <w:pPr>
            <w:jc w:val="center"/>
            <w:rPr>
              <w:rFonts w:cs="Calibri"/>
              <w:b/>
              <w:lang w:val="fo-FO"/>
            </w:rPr>
          </w:pPr>
        </w:p>
        <w:p w14:paraId="70C2DA61" w14:textId="77777777" w:rsidR="00F02B1B" w:rsidRPr="00F043AA" w:rsidRDefault="00F02B1B" w:rsidP="000A648C">
          <w:pPr>
            <w:jc w:val="center"/>
            <w:rPr>
              <w:rFonts w:cs="Calibri"/>
              <w:b/>
              <w:lang w:val="fo-FO"/>
            </w:rPr>
          </w:pPr>
        </w:p>
        <w:p w14:paraId="14C7399B" w14:textId="20E03F23" w:rsidR="000A648C" w:rsidRPr="00F043AA" w:rsidRDefault="000A648C" w:rsidP="000A648C">
          <w:pPr>
            <w:jc w:val="center"/>
            <w:rPr>
              <w:rFonts w:cs="Calibri"/>
              <w:b/>
              <w:lang w:val="fo-FO"/>
            </w:rPr>
          </w:pPr>
          <w:r w:rsidRPr="00F043AA">
            <w:rPr>
              <w:rFonts w:cs="Calibri"/>
              <w:noProof/>
              <w:lang w:val="fo-FO"/>
            </w:rPr>
            <w:drawing>
              <wp:inline distT="0" distB="0" distL="0" distR="0" wp14:anchorId="290B39DC" wp14:editId="7AC602B6">
                <wp:extent cx="4773482" cy="1442851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8718" cy="1447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9342EF" w14:textId="64E43771" w:rsidR="000A648C" w:rsidRPr="00F043AA" w:rsidRDefault="000A648C" w:rsidP="000A648C">
          <w:pPr>
            <w:jc w:val="center"/>
            <w:rPr>
              <w:rFonts w:cs="Calibri"/>
              <w:b/>
              <w:lang w:val="fo-FO"/>
            </w:rPr>
          </w:pPr>
        </w:p>
        <w:p w14:paraId="0A541927" w14:textId="6E08C125" w:rsidR="000A648C" w:rsidRPr="00F043AA" w:rsidRDefault="000A648C" w:rsidP="000A648C">
          <w:pPr>
            <w:jc w:val="center"/>
            <w:rPr>
              <w:rFonts w:cs="Calibri"/>
              <w:b/>
              <w:lang w:val="fo-FO"/>
            </w:rPr>
          </w:pPr>
        </w:p>
        <w:p w14:paraId="1B94F850" w14:textId="60E6A412" w:rsidR="006409BE" w:rsidRPr="00F043AA" w:rsidRDefault="00F02B1B" w:rsidP="000A648C">
          <w:pPr>
            <w:jc w:val="center"/>
            <w:rPr>
              <w:rFonts w:cs="Calibri"/>
              <w:b/>
              <w:lang w:val="fo-FO"/>
            </w:rPr>
          </w:pPr>
          <w:r w:rsidRPr="00F043AA">
            <w:rPr>
              <w:rFonts w:cs="Calibri"/>
              <w:noProof/>
              <w:lang w:val="fo-F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5DFBE0" wp14:editId="503E007F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2641683</wp:posOffset>
                    </wp:positionV>
                    <wp:extent cx="5943600" cy="9144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47DDCC97" w14:textId="68191F03" w:rsidR="006409BE" w:rsidRPr="00756FBD" w:rsidRDefault="000A648C" w:rsidP="000A648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68"/>
                                        <w:szCs w:val="68"/>
                                      </w:rPr>
                                    </w:pPr>
                                    <w:r w:rsidRPr="00756FBD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64"/>
                                        <w:szCs w:val="64"/>
                                      </w:rPr>
                                      <w:t>Útboð</w:t>
                                    </w:r>
                                  </w:p>
                                </w:sdtContent>
                              </w:sdt>
                              <w:p w14:paraId="22FE9546" w14:textId="7907B0E8" w:rsidR="006409BE" w:rsidRPr="00756FBD" w:rsidRDefault="00A02EFB" w:rsidP="000A648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A648C" w:rsidRPr="00756FBD">
                                      <w:rPr>
                                        <w:sz w:val="36"/>
                                        <w:szCs w:val="36"/>
                                      </w:rPr>
                                      <w:t>KT útgerð til Sjúkrahúsverkið</w:t>
                                    </w:r>
                                  </w:sdtContent>
                                </w:sdt>
                              </w:p>
                              <w:p w14:paraId="371AA786" w14:textId="38461373" w:rsidR="00F90F10" w:rsidRPr="00756FBD" w:rsidRDefault="00F90F10" w:rsidP="000A648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756FBD">
                                  <w:rPr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  <w:p w14:paraId="1BB15ECC" w14:textId="77777777" w:rsidR="006409BE" w:rsidRDefault="006409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C5DF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left:0;text-align:left;margin-left:0;margin-top:208pt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47DDCC97" w14:textId="68191F03" w:rsidR="006409BE" w:rsidRPr="00756FBD" w:rsidRDefault="000A648C" w:rsidP="000A648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68"/>
                                  <w:szCs w:val="68"/>
                                </w:rPr>
                              </w:pPr>
                              <w:r w:rsidRPr="00756FBD"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64"/>
                                  <w:szCs w:val="64"/>
                                </w:rPr>
                                <w:t>Útboð</w:t>
                              </w:r>
                            </w:p>
                          </w:sdtContent>
                        </w:sdt>
                        <w:p w14:paraId="22FE9546" w14:textId="7907B0E8" w:rsidR="006409BE" w:rsidRPr="00756FBD" w:rsidRDefault="00A02EFB" w:rsidP="000A648C">
                          <w:pPr>
                            <w:pStyle w:val="NoSpacing"/>
                            <w:spacing w:before="12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A648C" w:rsidRPr="00756FBD">
                                <w:rPr>
                                  <w:sz w:val="36"/>
                                  <w:szCs w:val="36"/>
                                </w:rPr>
                                <w:t>KT útgerð til Sjúkrahúsverkið</w:t>
                              </w:r>
                            </w:sdtContent>
                          </w:sdt>
                        </w:p>
                        <w:p w14:paraId="371AA786" w14:textId="38461373" w:rsidR="00F90F10" w:rsidRPr="00756FBD" w:rsidRDefault="00F90F10" w:rsidP="000A648C">
                          <w:pPr>
                            <w:pStyle w:val="NoSpacing"/>
                            <w:spacing w:before="12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756FBD">
                            <w:rPr>
                              <w:sz w:val="36"/>
                              <w:szCs w:val="36"/>
                            </w:rPr>
                            <w:t>2022</w:t>
                          </w:r>
                        </w:p>
                        <w:p w14:paraId="1BB15ECC" w14:textId="77777777" w:rsidR="006409BE" w:rsidRDefault="006409BE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6409BE" w:rsidRPr="00F043AA">
            <w:rPr>
              <w:rFonts w:cs="Calibri"/>
              <w:b/>
              <w:lang w:val="fo-FO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fo-FO" w:eastAsia="da-DK"/>
        </w:rPr>
        <w:id w:val="1563980175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sz w:val="22"/>
        </w:rPr>
      </w:sdtEndPr>
      <w:sdtContent>
        <w:p w14:paraId="5AA1E9C1" w14:textId="48FB6D13" w:rsidR="00F90F10" w:rsidRPr="00F043AA" w:rsidRDefault="00FA36AE" w:rsidP="005D0023">
          <w:pPr>
            <w:pStyle w:val="TOCHeading"/>
            <w:rPr>
              <w:lang w:val="fo-FO"/>
            </w:rPr>
          </w:pPr>
          <w:r w:rsidRPr="00F043AA">
            <w:rPr>
              <w:lang w:val="fo-FO"/>
            </w:rPr>
            <w:t>Innihaldsyvirlit</w:t>
          </w:r>
        </w:p>
        <w:p w14:paraId="2C4ABEDD" w14:textId="10DE5E3F" w:rsidR="00814279" w:rsidRDefault="00F90F10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r w:rsidRPr="00F043AA">
            <w:rPr>
              <w:rFonts w:cs="Calibri"/>
              <w:lang w:val="fo-FO"/>
            </w:rPr>
            <w:fldChar w:fldCharType="begin"/>
          </w:r>
          <w:r w:rsidRPr="00F043AA">
            <w:rPr>
              <w:rFonts w:cs="Calibri"/>
              <w:lang w:val="fo-FO"/>
            </w:rPr>
            <w:instrText xml:space="preserve"> TOC \o "1-3" \h \z \u </w:instrText>
          </w:r>
          <w:r w:rsidRPr="00F043AA">
            <w:rPr>
              <w:rFonts w:cs="Calibri"/>
              <w:lang w:val="fo-FO"/>
            </w:rPr>
            <w:fldChar w:fldCharType="separate"/>
          </w:r>
          <w:hyperlink w:anchor="_Toc117497584" w:history="1">
            <w:r w:rsidR="00814279" w:rsidRPr="00EB7C53">
              <w:rPr>
                <w:rStyle w:val="Hyperlink"/>
                <w:noProof/>
              </w:rPr>
              <w:t>Innleiðing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_Toc117497584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2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4A88E0E7" w14:textId="30687C16" w:rsidR="00814279" w:rsidRDefault="00A02EFB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85" w:history="1">
            <w:r w:rsidR="00814279" w:rsidRPr="00EB7C53">
              <w:rPr>
                <w:rStyle w:val="Hyperlink"/>
                <w:noProof/>
              </w:rPr>
              <w:t>Útbjóðari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_Toc117497585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2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0028D5BD" w14:textId="10F3D8C3" w:rsidR="00814279" w:rsidRDefault="00A02EFB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86" w:history="1">
            <w:r w:rsidR="00814279" w:rsidRPr="00EB7C53">
              <w:rPr>
                <w:rStyle w:val="Hyperlink"/>
                <w:noProof/>
              </w:rPr>
              <w:t>Vav av útboði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_Toc117497586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2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399C62A4" w14:textId="271A2F14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87" w:history="1">
            <w:r w:rsidR="00814279" w:rsidRPr="00EB7C53">
              <w:rPr>
                <w:rStyle w:val="Hyperlink"/>
                <w:noProof/>
              </w:rPr>
              <w:t>Meting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_Toc117497587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3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3F810326" w14:textId="4C80ED00" w:rsidR="00814279" w:rsidRDefault="00A02EFB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88" w:history="1">
            <w:r w:rsidR="00814279" w:rsidRPr="00EB7C53">
              <w:rPr>
                <w:rStyle w:val="Hyperlink"/>
                <w:noProof/>
              </w:rPr>
              <w:t>Tíðarætlan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_Toc117497588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3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53629B4D" w14:textId="4C438FF4" w:rsidR="00814279" w:rsidRDefault="00A02EFB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89" w:history="1">
            <w:r w:rsidR="00814279" w:rsidRPr="00EB7C53">
              <w:rPr>
                <w:rStyle w:val="Hyperlink"/>
                <w:noProof/>
              </w:rPr>
              <w:t>Framferðarháttir, mannagongd og krøv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_Toc117497589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3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08ECB24A" w14:textId="5225B72B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0" w:history="1">
            <w:r w:rsidR="00814279" w:rsidRPr="00EB7C53">
              <w:rPr>
                <w:rStyle w:val="Hyperlink"/>
                <w:noProof/>
              </w:rPr>
              <w:t>KT útgerð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_Toc117497590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4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7B808823" w14:textId="0C768613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1" w:history="1">
            <w:r w:rsidR="00814279" w:rsidRPr="00EB7C53">
              <w:rPr>
                <w:rStyle w:val="Hyperlink"/>
                <w:noProof/>
              </w:rPr>
              <w:t>HP teldur og prentarar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_Toc117497591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4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0CF39CF5" w14:textId="2EAC2009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2" w:history="1">
            <w:r w:rsidR="00814279" w:rsidRPr="00EB7C53">
              <w:rPr>
                <w:rStyle w:val="Hyperlink"/>
                <w:noProof/>
              </w:rPr>
              <w:t>Fartelefonir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_Toc117497592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4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78D90864" w14:textId="19FE4E46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3" w:history="1">
            <w:r w:rsidR="00814279" w:rsidRPr="00EB7C53">
              <w:rPr>
                <w:rStyle w:val="Hyperlink"/>
                <w:noProof/>
              </w:rPr>
              <w:t>Prentarar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_Toc117497593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4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3923D6AB" w14:textId="55C9602B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4" w:history="1">
            <w:r w:rsidR="00814279" w:rsidRPr="00EB7C53">
              <w:rPr>
                <w:rStyle w:val="Hyperlink"/>
                <w:noProof/>
              </w:rPr>
              <w:t>Vørubólkar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_Toc117497594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4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2EEF3F28" w14:textId="41208533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5" w:history="1">
            <w:r w:rsidR="00814279" w:rsidRPr="00EB7C53">
              <w:rPr>
                <w:rStyle w:val="Hyperlink"/>
                <w:noProof/>
              </w:rPr>
              <w:t>Skipan av innkeypi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_Toc117497595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5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2B569DA0" w14:textId="24255346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6" w:history="1">
            <w:r w:rsidR="00814279" w:rsidRPr="00EB7C53">
              <w:rPr>
                <w:rStyle w:val="Hyperlink"/>
                <w:noProof/>
              </w:rPr>
              <w:t>Meting av tilboði og framferðarháttir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_Toc117497596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5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34E9D087" w14:textId="19B3DA05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7" w:history="1">
            <w:r w:rsidR="00814279" w:rsidRPr="00EB7C53">
              <w:rPr>
                <w:rStyle w:val="Hyperlink"/>
                <w:noProof/>
              </w:rPr>
              <w:t>Sáttmálalongd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_Toc117497597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08F196E0" w14:textId="77C998AE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8" w:history="1">
            <w:r w:rsidR="00814279" w:rsidRPr="00EB7C53">
              <w:rPr>
                <w:rStyle w:val="Hyperlink"/>
                <w:noProof/>
              </w:rPr>
              <w:t>Spurningar til útboðstilfar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_Toc117497598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3735BBF5" w14:textId="3FCE9792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599" w:history="1">
            <w:r w:rsidR="00814279" w:rsidRPr="00EB7C53">
              <w:rPr>
                <w:rStyle w:val="Hyperlink"/>
                <w:noProof/>
              </w:rPr>
              <w:t>Úrslit av útboð kunngjørt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_Toc117497599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237882C4" w14:textId="07B563CD" w:rsidR="00814279" w:rsidRDefault="00A02EFB">
          <w:pPr>
            <w:pStyle w:val="TOC1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600" w:history="1">
            <w:r w:rsidR="00814279" w:rsidRPr="00EB7C53">
              <w:rPr>
                <w:rStyle w:val="Hyperlink"/>
                <w:noProof/>
              </w:rPr>
              <w:t>Alment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_Toc117497600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613D6E18" w14:textId="79E02D2C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601" w:history="1">
            <w:r w:rsidR="00814279" w:rsidRPr="00EB7C53">
              <w:rPr>
                <w:rStyle w:val="Hyperlink"/>
                <w:noProof/>
              </w:rPr>
              <w:t>Fyrivarni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_Toc117497601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0CB58735" w14:textId="44FE6CE8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602" w:history="1">
            <w:r w:rsidR="00814279" w:rsidRPr="00EB7C53">
              <w:rPr>
                <w:rStyle w:val="Hyperlink"/>
                <w:noProof/>
              </w:rPr>
              <w:t>Alment innlit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_Toc117497602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2B10B2BA" w14:textId="4EEAB230" w:rsidR="00814279" w:rsidRDefault="00A02EFB">
          <w:pPr>
            <w:pStyle w:val="TOC2"/>
            <w:tabs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7497603" w:history="1">
            <w:r w:rsidR="00814279" w:rsidRPr="00EB7C53">
              <w:rPr>
                <w:rStyle w:val="Hyperlink"/>
                <w:noProof/>
              </w:rPr>
              <w:t>Ogn og viðstøða</w:t>
            </w:r>
            <w:r w:rsidR="00814279">
              <w:rPr>
                <w:noProof/>
                <w:webHidden/>
              </w:rPr>
              <w:tab/>
            </w:r>
            <w:r w:rsidR="00814279">
              <w:rPr>
                <w:noProof/>
                <w:webHidden/>
              </w:rPr>
              <w:fldChar w:fldCharType="begin"/>
            </w:r>
            <w:r w:rsidR="00814279">
              <w:rPr>
                <w:noProof/>
                <w:webHidden/>
              </w:rPr>
              <w:instrText xml:space="preserve"> PAGEREF _Toc117497603 \h </w:instrText>
            </w:r>
            <w:r w:rsidR="00814279">
              <w:rPr>
                <w:noProof/>
                <w:webHidden/>
              </w:rPr>
            </w:r>
            <w:r w:rsidR="00814279">
              <w:rPr>
                <w:noProof/>
                <w:webHidden/>
              </w:rPr>
              <w:fldChar w:fldCharType="separate"/>
            </w:r>
            <w:r w:rsidR="00814279">
              <w:rPr>
                <w:noProof/>
                <w:webHidden/>
              </w:rPr>
              <w:t>6</w:t>
            </w:r>
            <w:r w:rsidR="00814279">
              <w:rPr>
                <w:noProof/>
                <w:webHidden/>
              </w:rPr>
              <w:fldChar w:fldCharType="end"/>
            </w:r>
          </w:hyperlink>
        </w:p>
        <w:p w14:paraId="109182DC" w14:textId="3AA5656F" w:rsidR="00F90F10" w:rsidRPr="00F043AA" w:rsidRDefault="00F90F10">
          <w:pPr>
            <w:rPr>
              <w:rFonts w:cs="Calibri"/>
              <w:lang w:val="fo-FO"/>
            </w:rPr>
          </w:pPr>
          <w:r w:rsidRPr="00F043AA">
            <w:rPr>
              <w:rFonts w:cs="Calibri"/>
              <w:b/>
              <w:bCs/>
              <w:lang w:val="fo-FO"/>
            </w:rPr>
            <w:fldChar w:fldCharType="end"/>
          </w:r>
        </w:p>
      </w:sdtContent>
    </w:sdt>
    <w:p w14:paraId="0092F53C" w14:textId="68F43CFC" w:rsidR="00F90F10" w:rsidRPr="00F043AA" w:rsidRDefault="00F90F10">
      <w:pPr>
        <w:rPr>
          <w:rFonts w:cs="Calibri"/>
          <w:b/>
          <w:lang w:val="fo-FO"/>
        </w:rPr>
      </w:pPr>
      <w:r w:rsidRPr="00F043AA">
        <w:rPr>
          <w:rFonts w:cs="Calibri"/>
          <w:b/>
          <w:lang w:val="fo-FO"/>
        </w:rPr>
        <w:br w:type="page"/>
      </w:r>
    </w:p>
    <w:p w14:paraId="1A056D0E" w14:textId="2D69B9AF" w:rsidR="00F90F10" w:rsidRPr="00F043AA" w:rsidRDefault="00F90F10" w:rsidP="00FA36AE">
      <w:pPr>
        <w:pStyle w:val="Heading1"/>
      </w:pPr>
      <w:bookmarkStart w:id="0" w:name="_Toc117497584"/>
      <w:r w:rsidRPr="00F043AA">
        <w:lastRenderedPageBreak/>
        <w:t>Innleiðing</w:t>
      </w:r>
      <w:bookmarkEnd w:id="0"/>
    </w:p>
    <w:p w14:paraId="46D2D6E4" w14:textId="475A11EA" w:rsidR="00115C09" w:rsidRPr="00F043AA" w:rsidRDefault="006B3471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Á Sjúkrahúsverkinum </w:t>
      </w:r>
      <w:r w:rsidR="00A24D93" w:rsidRPr="00F043AA">
        <w:rPr>
          <w:rFonts w:cs="Calibri"/>
          <w:szCs w:val="22"/>
          <w:lang w:val="fo-FO"/>
        </w:rPr>
        <w:t xml:space="preserve">(SHV) </w:t>
      </w:r>
      <w:r w:rsidR="00115C09" w:rsidRPr="00F043AA">
        <w:rPr>
          <w:rFonts w:cs="Calibri"/>
          <w:szCs w:val="22"/>
          <w:lang w:val="fo-FO"/>
        </w:rPr>
        <w:t xml:space="preserve">starvast gott 1.500 fólk, </w:t>
      </w:r>
      <w:r w:rsidR="00A24D93" w:rsidRPr="00F043AA">
        <w:rPr>
          <w:rFonts w:cs="Calibri"/>
          <w:szCs w:val="22"/>
          <w:lang w:val="fo-FO"/>
        </w:rPr>
        <w:t xml:space="preserve">har nærum øll </w:t>
      </w:r>
      <w:r w:rsidR="00115C09" w:rsidRPr="00F043AA">
        <w:rPr>
          <w:rFonts w:cs="Calibri"/>
          <w:szCs w:val="22"/>
          <w:lang w:val="fo-FO"/>
        </w:rPr>
        <w:t xml:space="preserve">nýta KT sum part av teirra </w:t>
      </w:r>
      <w:r w:rsidR="00A24D93" w:rsidRPr="00F043AA">
        <w:rPr>
          <w:rFonts w:cs="Calibri"/>
          <w:szCs w:val="22"/>
          <w:lang w:val="fo-FO"/>
        </w:rPr>
        <w:t xml:space="preserve">dagliga </w:t>
      </w:r>
      <w:r w:rsidR="00115C09" w:rsidRPr="00F043AA">
        <w:rPr>
          <w:rFonts w:cs="Calibri"/>
          <w:szCs w:val="22"/>
          <w:lang w:val="fo-FO"/>
        </w:rPr>
        <w:t xml:space="preserve">arbeiðsamboði. Fyri at tryggja at </w:t>
      </w:r>
      <w:r w:rsidR="00EF6E80" w:rsidRPr="00F043AA">
        <w:rPr>
          <w:rFonts w:cs="Calibri"/>
          <w:szCs w:val="22"/>
          <w:lang w:val="fo-FO"/>
        </w:rPr>
        <w:t>starv</w:t>
      </w:r>
      <w:r w:rsidR="0035424E" w:rsidRPr="00F043AA">
        <w:rPr>
          <w:rFonts w:cs="Calibri"/>
          <w:szCs w:val="22"/>
          <w:lang w:val="fo-FO"/>
        </w:rPr>
        <w:t>s</w:t>
      </w:r>
      <w:r w:rsidR="00EF6E80" w:rsidRPr="00F043AA">
        <w:rPr>
          <w:rFonts w:cs="Calibri"/>
          <w:szCs w:val="22"/>
          <w:lang w:val="fo-FO"/>
        </w:rPr>
        <w:t>fólk</w:t>
      </w:r>
      <w:r w:rsidR="00115C09" w:rsidRPr="00F043AA">
        <w:rPr>
          <w:rFonts w:cs="Calibri"/>
          <w:szCs w:val="22"/>
          <w:lang w:val="fo-FO"/>
        </w:rPr>
        <w:t xml:space="preserve"> hava atgongd til skipanir og dátur alt </w:t>
      </w:r>
      <w:r w:rsidR="00EF6E80" w:rsidRPr="00F043AA">
        <w:rPr>
          <w:rFonts w:cs="Calibri"/>
          <w:szCs w:val="22"/>
          <w:lang w:val="fo-FO"/>
        </w:rPr>
        <w:t>samdøgrið</w:t>
      </w:r>
      <w:r w:rsidR="00115C09" w:rsidRPr="00F043AA">
        <w:rPr>
          <w:rFonts w:cs="Calibri"/>
          <w:szCs w:val="22"/>
          <w:lang w:val="fo-FO"/>
        </w:rPr>
        <w:t xml:space="preserve">, er áhaldandi tørvur á at keypa inn og at </w:t>
      </w:r>
      <w:r w:rsidR="00EF6E80" w:rsidRPr="00F043AA">
        <w:rPr>
          <w:rFonts w:cs="Calibri"/>
          <w:szCs w:val="22"/>
          <w:lang w:val="fo-FO"/>
        </w:rPr>
        <w:t>endurnýggja</w:t>
      </w:r>
      <w:r w:rsidR="00115C09" w:rsidRPr="00F043AA">
        <w:rPr>
          <w:rFonts w:cs="Calibri"/>
          <w:szCs w:val="22"/>
          <w:lang w:val="fo-FO"/>
        </w:rPr>
        <w:t xml:space="preserve"> KT útgerð </w:t>
      </w:r>
      <w:r w:rsidR="00687ED2" w:rsidRPr="00F043AA">
        <w:rPr>
          <w:rFonts w:cs="Calibri"/>
          <w:szCs w:val="22"/>
          <w:lang w:val="fo-FO"/>
        </w:rPr>
        <w:t>í</w:t>
      </w:r>
      <w:r w:rsidR="0035424E" w:rsidRPr="00F043AA">
        <w:rPr>
          <w:rFonts w:cs="Calibri"/>
          <w:szCs w:val="22"/>
          <w:lang w:val="fo-FO"/>
        </w:rPr>
        <w:t xml:space="preserve"> </w:t>
      </w:r>
      <w:r w:rsidR="00115C09" w:rsidRPr="00F043AA">
        <w:rPr>
          <w:rFonts w:cs="Calibri"/>
          <w:szCs w:val="22"/>
          <w:lang w:val="fo-FO"/>
        </w:rPr>
        <w:t>SHV.</w:t>
      </w:r>
    </w:p>
    <w:p w14:paraId="60F3DE78" w14:textId="77777777" w:rsidR="00115C09" w:rsidRPr="00F043AA" w:rsidRDefault="00115C09" w:rsidP="00F02B1B">
      <w:pPr>
        <w:jc w:val="both"/>
        <w:rPr>
          <w:rFonts w:cs="Calibri"/>
          <w:szCs w:val="22"/>
          <w:lang w:val="fo-FO"/>
        </w:rPr>
      </w:pPr>
    </w:p>
    <w:p w14:paraId="4C0540D8" w14:textId="78CEDD58" w:rsidR="00F90F10" w:rsidRPr="00F043AA" w:rsidRDefault="00725926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SHV </w:t>
      </w:r>
      <w:r w:rsidR="00F90F10" w:rsidRPr="00F043AA">
        <w:rPr>
          <w:rFonts w:cs="Calibri"/>
          <w:szCs w:val="22"/>
          <w:lang w:val="fo-FO"/>
        </w:rPr>
        <w:t xml:space="preserve">bjóðar út rammusáttmála fyri innkeyp av KT útgerð. </w:t>
      </w:r>
      <w:r w:rsidRPr="00F043AA">
        <w:rPr>
          <w:rFonts w:cs="Calibri"/>
          <w:szCs w:val="22"/>
          <w:lang w:val="fo-FO"/>
        </w:rPr>
        <w:t xml:space="preserve">SHV </w:t>
      </w:r>
      <w:r w:rsidR="00E93FE9" w:rsidRPr="00F043AA">
        <w:rPr>
          <w:rFonts w:cs="Calibri"/>
          <w:szCs w:val="22"/>
          <w:lang w:val="fo-FO"/>
        </w:rPr>
        <w:t xml:space="preserve">ynskir at gera </w:t>
      </w:r>
      <w:r w:rsidR="009E0581" w:rsidRPr="00F043AA">
        <w:rPr>
          <w:rFonts w:cs="Calibri"/>
          <w:szCs w:val="22"/>
          <w:lang w:val="fo-FO"/>
        </w:rPr>
        <w:t>eina fleirára</w:t>
      </w:r>
      <w:r w:rsidR="00E93FE9" w:rsidRPr="00F043AA">
        <w:rPr>
          <w:rFonts w:cs="Calibri"/>
          <w:szCs w:val="22"/>
          <w:lang w:val="fo-FO"/>
        </w:rPr>
        <w:t>avtalu um veiting við vinnaran av útboðnum</w:t>
      </w:r>
      <w:r w:rsidR="009E0581" w:rsidRPr="00F043AA">
        <w:rPr>
          <w:rFonts w:cs="Calibri"/>
          <w:szCs w:val="22"/>
          <w:lang w:val="fo-FO"/>
        </w:rPr>
        <w:t>. KT ú</w:t>
      </w:r>
      <w:r w:rsidR="00F90F10" w:rsidRPr="00F043AA">
        <w:rPr>
          <w:rFonts w:cs="Calibri"/>
          <w:szCs w:val="22"/>
          <w:lang w:val="fo-FO"/>
        </w:rPr>
        <w:t>tgerðin</w:t>
      </w:r>
      <w:r w:rsidR="009E0581" w:rsidRPr="00F043AA">
        <w:rPr>
          <w:rFonts w:cs="Calibri"/>
          <w:szCs w:val="22"/>
          <w:lang w:val="fo-FO"/>
        </w:rPr>
        <w:t xml:space="preserve">, sum ein møguligur rammusáttmáli </w:t>
      </w:r>
      <w:r w:rsidR="00687ED2" w:rsidRPr="00F043AA">
        <w:rPr>
          <w:rFonts w:cs="Calibri"/>
          <w:szCs w:val="22"/>
          <w:lang w:val="fo-FO"/>
        </w:rPr>
        <w:t>fevnir</w:t>
      </w:r>
      <w:r w:rsidR="0035424E" w:rsidRPr="00F043AA">
        <w:rPr>
          <w:rFonts w:cs="Calibri"/>
          <w:szCs w:val="22"/>
          <w:lang w:val="fo-FO"/>
        </w:rPr>
        <w:t xml:space="preserve"> um</w:t>
      </w:r>
      <w:r w:rsidR="009E0581" w:rsidRPr="00F043AA">
        <w:rPr>
          <w:rFonts w:cs="Calibri"/>
          <w:szCs w:val="22"/>
          <w:lang w:val="fo-FO"/>
        </w:rPr>
        <w:t xml:space="preserve">, </w:t>
      </w:r>
      <w:r w:rsidR="00F90F10" w:rsidRPr="00F043AA">
        <w:rPr>
          <w:rFonts w:cs="Calibri"/>
          <w:szCs w:val="22"/>
          <w:lang w:val="fo-FO"/>
        </w:rPr>
        <w:t xml:space="preserve">verður nærri lýst í fylgiskjali </w:t>
      </w:r>
      <w:r w:rsidR="00F73026" w:rsidRPr="00F043AA">
        <w:rPr>
          <w:rFonts w:cs="Calibri"/>
          <w:szCs w:val="22"/>
          <w:lang w:val="fo-FO"/>
        </w:rPr>
        <w:t>B</w:t>
      </w:r>
      <w:r w:rsidR="00F90F10" w:rsidRPr="00F043AA">
        <w:rPr>
          <w:rFonts w:cs="Calibri"/>
          <w:szCs w:val="22"/>
          <w:lang w:val="fo-FO"/>
        </w:rPr>
        <w:t xml:space="preserve"> við heitinum “</w:t>
      </w:r>
      <w:r w:rsidR="00224945" w:rsidRPr="00F043AA">
        <w:rPr>
          <w:rFonts w:cs="Calibri"/>
          <w:i/>
          <w:iCs/>
          <w:szCs w:val="22"/>
          <w:lang w:val="fo-FO"/>
        </w:rPr>
        <w:t>Fylgiskjal B - vørulisti - KT-útgerð.xlsx</w:t>
      </w:r>
      <w:r w:rsidR="00F90F10" w:rsidRPr="00F043AA">
        <w:rPr>
          <w:rFonts w:cs="Calibri"/>
          <w:szCs w:val="22"/>
          <w:lang w:val="fo-FO"/>
        </w:rPr>
        <w:t xml:space="preserve">”. </w:t>
      </w:r>
    </w:p>
    <w:p w14:paraId="10BD82CA" w14:textId="514F2991" w:rsidR="009E0581" w:rsidRPr="00F043AA" w:rsidRDefault="009E0581" w:rsidP="00F02B1B">
      <w:pPr>
        <w:jc w:val="both"/>
        <w:rPr>
          <w:rFonts w:cs="Calibri"/>
          <w:szCs w:val="22"/>
          <w:lang w:val="fo-FO"/>
        </w:rPr>
      </w:pPr>
    </w:p>
    <w:p w14:paraId="64FA83A1" w14:textId="6FDFC780" w:rsidR="009E0581" w:rsidRPr="00F043AA" w:rsidRDefault="009E0581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Hóast </w:t>
      </w:r>
      <w:r w:rsidR="00725926" w:rsidRPr="00F043AA">
        <w:rPr>
          <w:rFonts w:cs="Calibri"/>
          <w:szCs w:val="22"/>
          <w:lang w:val="fo-FO"/>
        </w:rPr>
        <w:t>SHV</w:t>
      </w:r>
      <w:r w:rsidRPr="00F043AA">
        <w:rPr>
          <w:rFonts w:cs="Calibri"/>
          <w:szCs w:val="22"/>
          <w:lang w:val="fo-FO"/>
        </w:rPr>
        <w:t xml:space="preserve">, sum almennur stovnur, </w:t>
      </w:r>
      <w:r w:rsidR="0035424E" w:rsidRPr="00F043AA">
        <w:rPr>
          <w:rFonts w:cs="Calibri"/>
          <w:szCs w:val="22"/>
          <w:lang w:val="fo-FO"/>
        </w:rPr>
        <w:t xml:space="preserve">er </w:t>
      </w:r>
      <w:r w:rsidRPr="00F043AA">
        <w:rPr>
          <w:rFonts w:cs="Calibri"/>
          <w:szCs w:val="22"/>
          <w:lang w:val="fo-FO"/>
        </w:rPr>
        <w:t>fevnt av “</w:t>
      </w:r>
      <w:r w:rsidRPr="00F043AA">
        <w:rPr>
          <w:rFonts w:cs="Calibri"/>
          <w:i/>
          <w:iCs/>
          <w:szCs w:val="22"/>
          <w:lang w:val="fo-FO"/>
        </w:rPr>
        <w:t>Rundskriv nr. 9003 frá 1. Juli 2019 um keyp av vørum og tænastum</w:t>
      </w:r>
      <w:r w:rsidRPr="00F043AA">
        <w:rPr>
          <w:rFonts w:cs="Calibri"/>
          <w:szCs w:val="22"/>
          <w:lang w:val="fo-FO"/>
        </w:rPr>
        <w:t xml:space="preserve">”, </w:t>
      </w:r>
      <w:r w:rsidR="00C00E92" w:rsidRPr="00F043AA">
        <w:rPr>
          <w:rFonts w:cs="Calibri"/>
          <w:szCs w:val="22"/>
          <w:lang w:val="fo-FO"/>
        </w:rPr>
        <w:t xml:space="preserve">hevur Gjaldstovan </w:t>
      </w:r>
      <w:r w:rsidR="001912AD" w:rsidRPr="00F043AA">
        <w:rPr>
          <w:rFonts w:cs="Calibri"/>
          <w:szCs w:val="22"/>
          <w:lang w:val="fo-FO"/>
        </w:rPr>
        <w:t xml:space="preserve">positivt nevnt SHV sum stovn, sum ikki er fevnt av felags KT-innkeypinum sum </w:t>
      </w:r>
      <w:r w:rsidR="00FE35FB" w:rsidRPr="00F043AA">
        <w:rPr>
          <w:rFonts w:cs="Calibri"/>
          <w:szCs w:val="22"/>
          <w:lang w:val="fo-FO"/>
        </w:rPr>
        <w:t>Gjaldstovan</w:t>
      </w:r>
      <w:r w:rsidR="001912AD" w:rsidRPr="00F043AA">
        <w:rPr>
          <w:rFonts w:cs="Calibri"/>
          <w:szCs w:val="22"/>
          <w:lang w:val="fo-FO"/>
        </w:rPr>
        <w:t xml:space="preserve"> nýliga skipaðu fyri</w:t>
      </w:r>
      <w:r w:rsidRPr="00F043AA">
        <w:rPr>
          <w:rFonts w:cs="Calibri"/>
          <w:szCs w:val="22"/>
          <w:lang w:val="fo-FO"/>
        </w:rPr>
        <w:t>. Hetta er serliga grundað á serliga tørvin</w:t>
      </w:r>
      <w:r w:rsidR="00C00E92" w:rsidRPr="00F043AA">
        <w:rPr>
          <w:rFonts w:cs="Calibri"/>
          <w:szCs w:val="22"/>
          <w:lang w:val="fo-FO"/>
        </w:rPr>
        <w:t xml:space="preserve"> sum</w:t>
      </w:r>
      <w:r w:rsidRPr="00F043AA">
        <w:rPr>
          <w:rFonts w:cs="Calibri"/>
          <w:szCs w:val="22"/>
          <w:lang w:val="fo-FO"/>
        </w:rPr>
        <w:t xml:space="preserve"> </w:t>
      </w:r>
      <w:r w:rsidR="00115C09" w:rsidRPr="00F043AA">
        <w:rPr>
          <w:rFonts w:cs="Calibri"/>
          <w:szCs w:val="22"/>
          <w:lang w:val="fo-FO"/>
        </w:rPr>
        <w:t xml:space="preserve">SHV </w:t>
      </w:r>
      <w:r w:rsidRPr="00F043AA">
        <w:rPr>
          <w:rFonts w:cs="Calibri"/>
          <w:szCs w:val="22"/>
          <w:lang w:val="fo-FO"/>
        </w:rPr>
        <w:t xml:space="preserve">hevur </w:t>
      </w:r>
      <w:r w:rsidR="00C00E92" w:rsidRPr="00F043AA">
        <w:rPr>
          <w:rFonts w:cs="Calibri"/>
          <w:szCs w:val="22"/>
          <w:lang w:val="fo-FO"/>
        </w:rPr>
        <w:t>til KT- og Medico útgerð.</w:t>
      </w:r>
    </w:p>
    <w:p w14:paraId="6B382C97" w14:textId="65139E8E" w:rsidR="00A24D93" w:rsidRPr="00F043AA" w:rsidRDefault="00A24D93" w:rsidP="00F02B1B">
      <w:pPr>
        <w:jc w:val="both"/>
        <w:rPr>
          <w:rFonts w:cs="Calibri"/>
          <w:lang w:val="fo-FO"/>
        </w:rPr>
      </w:pPr>
    </w:p>
    <w:p w14:paraId="7869095C" w14:textId="28D1EB5F" w:rsidR="00ED3704" w:rsidRPr="00F043AA" w:rsidRDefault="00ED3704" w:rsidP="00FA36AE">
      <w:pPr>
        <w:pStyle w:val="Heading1"/>
      </w:pPr>
      <w:bookmarkStart w:id="1" w:name="_Toc117497585"/>
      <w:r w:rsidRPr="00F043AA">
        <w:t>Útbjóðari</w:t>
      </w:r>
      <w:bookmarkEnd w:id="1"/>
    </w:p>
    <w:p w14:paraId="183F5F2D" w14:textId="21EAAB0D" w:rsidR="00ED3704" w:rsidRPr="00F043AA" w:rsidRDefault="00B357F0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Sjúkrahúsverkið er útbjóðari. </w:t>
      </w:r>
      <w:r w:rsidR="00ED3704" w:rsidRPr="00F043AA">
        <w:rPr>
          <w:rFonts w:cs="Calibri"/>
          <w:szCs w:val="22"/>
          <w:lang w:val="fo-FO"/>
        </w:rPr>
        <w:t xml:space="preserve">Tað eru tey trý sjúkrahúsini </w:t>
      </w:r>
      <w:r w:rsidR="00ED3704" w:rsidRPr="00F043AA">
        <w:rPr>
          <w:rFonts w:cs="Calibri"/>
          <w:i/>
          <w:iCs/>
          <w:szCs w:val="22"/>
          <w:lang w:val="fo-FO"/>
        </w:rPr>
        <w:t>Landssjúkrahúsið</w:t>
      </w:r>
      <w:r w:rsidR="00ED3704" w:rsidRPr="00F043AA">
        <w:rPr>
          <w:rFonts w:cs="Calibri"/>
          <w:szCs w:val="22"/>
          <w:lang w:val="fo-FO"/>
        </w:rPr>
        <w:t xml:space="preserve">, </w:t>
      </w:r>
      <w:r w:rsidR="00ED3704" w:rsidRPr="00F043AA">
        <w:rPr>
          <w:rFonts w:cs="Calibri"/>
          <w:i/>
          <w:iCs/>
          <w:szCs w:val="22"/>
          <w:lang w:val="fo-FO"/>
        </w:rPr>
        <w:t>Suðuroyar sjúkrahús</w:t>
      </w:r>
      <w:r w:rsidR="00ED3704" w:rsidRPr="00F043AA">
        <w:rPr>
          <w:rFonts w:cs="Calibri"/>
          <w:szCs w:val="22"/>
          <w:lang w:val="fo-FO"/>
        </w:rPr>
        <w:t xml:space="preserve"> og </w:t>
      </w:r>
      <w:r w:rsidR="00ED3704" w:rsidRPr="00F043AA">
        <w:rPr>
          <w:rFonts w:cs="Calibri"/>
          <w:i/>
          <w:iCs/>
          <w:szCs w:val="22"/>
          <w:lang w:val="fo-FO"/>
        </w:rPr>
        <w:t>Klaksvíkar sjúkrahús</w:t>
      </w:r>
      <w:r w:rsidR="0035424E" w:rsidRPr="00F043AA">
        <w:rPr>
          <w:rFonts w:cs="Calibri"/>
          <w:i/>
          <w:iCs/>
          <w:szCs w:val="22"/>
          <w:lang w:val="fo-FO"/>
        </w:rPr>
        <w:t>,</w:t>
      </w:r>
      <w:r w:rsidR="00ED3704" w:rsidRPr="00F043AA">
        <w:rPr>
          <w:rFonts w:cs="Calibri"/>
          <w:szCs w:val="22"/>
          <w:lang w:val="fo-FO"/>
        </w:rPr>
        <w:t xml:space="preserve"> sum umboða Sjúkrahúsverkið. </w:t>
      </w:r>
    </w:p>
    <w:p w14:paraId="1E6F456C" w14:textId="77777777" w:rsidR="000A7B87" w:rsidRPr="00F043AA" w:rsidRDefault="000A7B87" w:rsidP="00F02B1B">
      <w:pPr>
        <w:jc w:val="both"/>
        <w:rPr>
          <w:rFonts w:cs="Calibri"/>
          <w:szCs w:val="22"/>
          <w:lang w:val="fo-FO"/>
        </w:rPr>
      </w:pPr>
    </w:p>
    <w:p w14:paraId="1CFE329E" w14:textId="31BF9977" w:rsidR="00B357F0" w:rsidRPr="00F043AA" w:rsidRDefault="00B357F0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Kontaktpersónur er Annfinn Thomsen, KT-leiðari. Teldupostbústaður </w:t>
      </w:r>
      <w:hyperlink r:id="rId13" w:history="1">
        <w:r w:rsidRPr="00F043AA">
          <w:rPr>
            <w:rStyle w:val="Hyperlink"/>
            <w:rFonts w:cs="Calibri"/>
            <w:szCs w:val="22"/>
            <w:lang w:val="fo-FO"/>
          </w:rPr>
          <w:t>annfinn.thomsen@ls.fo</w:t>
        </w:r>
      </w:hyperlink>
      <w:r w:rsidRPr="00F043AA">
        <w:rPr>
          <w:rFonts w:cs="Calibri"/>
          <w:szCs w:val="22"/>
          <w:lang w:val="fo-FO"/>
        </w:rPr>
        <w:t xml:space="preserve"> – fartelefon +298 234590.</w:t>
      </w:r>
    </w:p>
    <w:p w14:paraId="7C57891C" w14:textId="4533F1D4" w:rsidR="00B357F0" w:rsidRPr="00F043AA" w:rsidRDefault="00B357F0" w:rsidP="00F02B1B">
      <w:pPr>
        <w:jc w:val="both"/>
        <w:rPr>
          <w:rFonts w:cs="Calibri"/>
          <w:lang w:val="fo-FO"/>
        </w:rPr>
      </w:pPr>
    </w:p>
    <w:p w14:paraId="74D13930" w14:textId="7AA854D4" w:rsidR="00B357F0" w:rsidRPr="00F043AA" w:rsidRDefault="00B357F0" w:rsidP="00FA36AE">
      <w:pPr>
        <w:pStyle w:val="Heading1"/>
      </w:pPr>
      <w:bookmarkStart w:id="2" w:name="_Toc117497586"/>
      <w:r w:rsidRPr="00F043AA">
        <w:t>Vav av útboð</w:t>
      </w:r>
      <w:r w:rsidR="00B03EA9" w:rsidRPr="00F043AA">
        <w:t>i</w:t>
      </w:r>
      <w:bookmarkEnd w:id="2"/>
    </w:p>
    <w:p w14:paraId="373595B0" w14:textId="36C6A23C" w:rsidR="00B03EA9" w:rsidRPr="00F043AA" w:rsidRDefault="00B357F0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Útboðið </w:t>
      </w:r>
      <w:r w:rsidR="00C75A75" w:rsidRPr="00F043AA">
        <w:rPr>
          <w:rFonts w:cs="Calibri"/>
          <w:szCs w:val="22"/>
          <w:lang w:val="fo-FO"/>
        </w:rPr>
        <w:t>fevnir</w:t>
      </w:r>
      <w:r w:rsidR="0035424E" w:rsidRPr="00F043AA">
        <w:rPr>
          <w:rFonts w:cs="Calibri"/>
          <w:szCs w:val="22"/>
          <w:lang w:val="fo-FO"/>
        </w:rPr>
        <w:t xml:space="preserve"> um alla</w:t>
      </w:r>
      <w:r w:rsidRPr="00F043AA">
        <w:rPr>
          <w:rFonts w:cs="Calibri"/>
          <w:szCs w:val="22"/>
          <w:lang w:val="fo-FO"/>
        </w:rPr>
        <w:t xml:space="preserve"> útgerð, sum er ásett í </w:t>
      </w:r>
      <w:r w:rsidRPr="00F043AA">
        <w:rPr>
          <w:rFonts w:cs="Calibri"/>
          <w:i/>
          <w:iCs/>
          <w:szCs w:val="22"/>
          <w:lang w:val="fo-FO"/>
        </w:rPr>
        <w:t xml:space="preserve">fylgiskjali </w:t>
      </w:r>
      <w:r w:rsidR="00F73026" w:rsidRPr="00F043AA">
        <w:rPr>
          <w:rFonts w:cs="Calibri"/>
          <w:i/>
          <w:iCs/>
          <w:szCs w:val="22"/>
          <w:lang w:val="fo-FO"/>
        </w:rPr>
        <w:t>B</w:t>
      </w:r>
      <w:r w:rsidRPr="00F043AA">
        <w:rPr>
          <w:rFonts w:cs="Calibri"/>
          <w:szCs w:val="22"/>
          <w:lang w:val="fo-FO"/>
        </w:rPr>
        <w:t>. Talan er altso um bæði KT útgerð</w:t>
      </w:r>
      <w:r w:rsidR="00B11FC9" w:rsidRPr="00F043AA">
        <w:rPr>
          <w:rFonts w:cs="Calibri"/>
          <w:szCs w:val="22"/>
          <w:lang w:val="fo-FO"/>
        </w:rPr>
        <w:t>, til vanligt skrivstovuvirksemi, og KT útgerð málrættað sjúkrahúsum og heilsumiðstøðum.</w:t>
      </w:r>
      <w:r w:rsidRPr="00F043AA">
        <w:rPr>
          <w:rFonts w:cs="Calibri"/>
          <w:szCs w:val="22"/>
          <w:lang w:val="fo-FO"/>
        </w:rPr>
        <w:t xml:space="preserve"> </w:t>
      </w:r>
      <w:r w:rsidR="00B03EA9" w:rsidRPr="00F043AA">
        <w:rPr>
          <w:rFonts w:cs="Calibri"/>
          <w:szCs w:val="22"/>
          <w:lang w:val="fo-FO"/>
        </w:rPr>
        <w:t xml:space="preserve">Tað skal væntast at </w:t>
      </w:r>
      <w:r w:rsidR="00B03EA9" w:rsidRPr="00F043AA">
        <w:rPr>
          <w:rFonts w:cs="Calibri"/>
          <w:i/>
          <w:iCs/>
          <w:szCs w:val="22"/>
          <w:lang w:val="fo-FO"/>
        </w:rPr>
        <w:t xml:space="preserve">fylgiskjal </w:t>
      </w:r>
      <w:r w:rsidR="00F73026" w:rsidRPr="00F043AA">
        <w:rPr>
          <w:rFonts w:cs="Calibri"/>
          <w:i/>
          <w:iCs/>
          <w:szCs w:val="22"/>
          <w:lang w:val="fo-FO"/>
        </w:rPr>
        <w:t>B</w:t>
      </w:r>
      <w:r w:rsidR="00B03EA9" w:rsidRPr="00F043AA">
        <w:rPr>
          <w:rFonts w:cs="Calibri"/>
          <w:szCs w:val="22"/>
          <w:lang w:val="fo-FO"/>
        </w:rPr>
        <w:t xml:space="preserve"> verður útbygt við fleiri vørum, so leingi rammusáttmálin hevur </w:t>
      </w:r>
      <w:r w:rsidR="00C03DAC" w:rsidRPr="00F043AA">
        <w:rPr>
          <w:rFonts w:cs="Calibri"/>
          <w:szCs w:val="22"/>
          <w:lang w:val="fo-FO"/>
        </w:rPr>
        <w:t>gildi</w:t>
      </w:r>
      <w:r w:rsidR="00C75A75" w:rsidRPr="00F043AA">
        <w:rPr>
          <w:rFonts w:cs="Calibri"/>
          <w:szCs w:val="22"/>
          <w:lang w:val="fo-FO"/>
        </w:rPr>
        <w:t>stíð</w:t>
      </w:r>
      <w:r w:rsidR="00B03EA9" w:rsidRPr="00F043AA">
        <w:rPr>
          <w:rFonts w:cs="Calibri"/>
          <w:szCs w:val="22"/>
          <w:lang w:val="fo-FO"/>
        </w:rPr>
        <w:t>.</w:t>
      </w:r>
    </w:p>
    <w:p w14:paraId="6EA9A1A5" w14:textId="1DBC4367" w:rsidR="00B357F0" w:rsidRPr="00F043AA" w:rsidRDefault="00B357F0" w:rsidP="00F02B1B">
      <w:pPr>
        <w:jc w:val="both"/>
        <w:rPr>
          <w:rFonts w:cs="Calibri"/>
          <w:szCs w:val="22"/>
          <w:lang w:val="fo-FO"/>
        </w:rPr>
      </w:pPr>
    </w:p>
    <w:p w14:paraId="188E176E" w14:textId="75F978BA" w:rsidR="00B11FC9" w:rsidRDefault="00B11FC9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Hóast </w:t>
      </w:r>
      <w:r w:rsidR="00B03EA9" w:rsidRPr="00F043AA">
        <w:rPr>
          <w:rFonts w:cs="Calibri"/>
          <w:szCs w:val="22"/>
          <w:lang w:val="fo-FO"/>
        </w:rPr>
        <w:t xml:space="preserve">SHV </w:t>
      </w:r>
      <w:r w:rsidRPr="00F043AA">
        <w:rPr>
          <w:rFonts w:cs="Calibri"/>
          <w:szCs w:val="22"/>
          <w:lang w:val="fo-FO"/>
        </w:rPr>
        <w:t xml:space="preserve">bjóðar ein rammusáttmála við vinnaran av útboðnum, kann </w:t>
      </w:r>
      <w:r w:rsidR="00B03EA9" w:rsidRPr="00F043AA">
        <w:rPr>
          <w:rFonts w:cs="Calibri"/>
          <w:szCs w:val="22"/>
          <w:lang w:val="fo-FO"/>
        </w:rPr>
        <w:t xml:space="preserve">SHV </w:t>
      </w:r>
      <w:r w:rsidRPr="00F043AA">
        <w:rPr>
          <w:rFonts w:cs="Calibri"/>
          <w:szCs w:val="22"/>
          <w:lang w:val="fo-FO"/>
        </w:rPr>
        <w:t xml:space="preserve">ikki </w:t>
      </w:r>
      <w:r w:rsidR="004113DB" w:rsidRPr="00F043AA">
        <w:rPr>
          <w:rFonts w:cs="Calibri"/>
          <w:szCs w:val="22"/>
          <w:lang w:val="fo-FO"/>
        </w:rPr>
        <w:t xml:space="preserve">tryggja </w:t>
      </w:r>
      <w:r w:rsidR="00C75A75" w:rsidRPr="00F043AA">
        <w:rPr>
          <w:rFonts w:cs="Calibri"/>
          <w:szCs w:val="22"/>
          <w:lang w:val="fo-FO"/>
        </w:rPr>
        <w:t>nøgd</w:t>
      </w:r>
      <w:r w:rsidR="00FE35FB" w:rsidRPr="00F043AA">
        <w:rPr>
          <w:rFonts w:cs="Calibri"/>
          <w:szCs w:val="22"/>
          <w:lang w:val="fo-FO"/>
        </w:rPr>
        <w:t xml:space="preserve">ina á hvørjum ári </w:t>
      </w:r>
      <w:r w:rsidRPr="00F043AA">
        <w:rPr>
          <w:rFonts w:cs="Calibri"/>
          <w:szCs w:val="22"/>
          <w:lang w:val="fo-FO"/>
        </w:rPr>
        <w:t xml:space="preserve">ella hvør vøra verður keypt sambært rammusáttmálanum. Tískil verður </w:t>
      </w:r>
      <w:r w:rsidR="00B03EA9" w:rsidRPr="00F043AA">
        <w:rPr>
          <w:rFonts w:cs="Calibri"/>
          <w:szCs w:val="22"/>
          <w:lang w:val="fo-FO"/>
        </w:rPr>
        <w:t xml:space="preserve">eitt tal ásett, sum </w:t>
      </w:r>
      <w:r w:rsidRPr="00F043AA">
        <w:rPr>
          <w:rFonts w:cs="Calibri"/>
          <w:szCs w:val="22"/>
          <w:lang w:val="fo-FO"/>
        </w:rPr>
        <w:t xml:space="preserve">í besta føri </w:t>
      </w:r>
      <w:r w:rsidR="004113DB" w:rsidRPr="00F043AA">
        <w:rPr>
          <w:rFonts w:cs="Calibri"/>
          <w:szCs w:val="22"/>
          <w:lang w:val="fo-FO"/>
        </w:rPr>
        <w:t xml:space="preserve">er ein meting </w:t>
      </w:r>
      <w:r w:rsidR="00C03DAC" w:rsidRPr="00F043AA">
        <w:rPr>
          <w:rFonts w:cs="Calibri"/>
          <w:szCs w:val="22"/>
          <w:lang w:val="fo-FO"/>
        </w:rPr>
        <w:t>av keypsorkuni</w:t>
      </w:r>
      <w:r w:rsidRPr="00F043AA">
        <w:rPr>
          <w:rFonts w:cs="Calibri"/>
          <w:szCs w:val="22"/>
          <w:lang w:val="fo-FO"/>
        </w:rPr>
        <w:t xml:space="preserve">, sum Sjúkrahúsverkið kann keypa undir rammusáttmálanum. Metingin er gjørd fyri </w:t>
      </w:r>
      <w:r w:rsidR="004113DB" w:rsidRPr="00F043AA">
        <w:rPr>
          <w:rFonts w:cs="Calibri"/>
          <w:szCs w:val="22"/>
          <w:lang w:val="fo-FO"/>
        </w:rPr>
        <w:t>2022</w:t>
      </w:r>
      <w:r w:rsidRPr="00F043AA">
        <w:rPr>
          <w:rFonts w:cs="Calibri"/>
          <w:szCs w:val="22"/>
          <w:lang w:val="fo-FO"/>
        </w:rPr>
        <w:t>, og er grundað á tal av starvsfólkum og miðal livitíð á KT útgerð.</w:t>
      </w:r>
      <w:r w:rsidR="004113DB" w:rsidRPr="00F043AA">
        <w:rPr>
          <w:rFonts w:cs="Calibri"/>
          <w:szCs w:val="22"/>
          <w:lang w:val="fo-FO"/>
        </w:rPr>
        <w:t xml:space="preserve"> Tað skal væntast eina eyka stór keypsorka í 2022 ella møguliga í byrjanini av 2023, grundað á, at nýggi H-bygningurin eftir ætlan skal takast í nýtslu í 2023.</w:t>
      </w:r>
    </w:p>
    <w:p w14:paraId="6A4DFAA4" w14:textId="4C955A51" w:rsidR="00287FD8" w:rsidRDefault="00287FD8" w:rsidP="00F02B1B">
      <w:pPr>
        <w:jc w:val="both"/>
        <w:rPr>
          <w:rFonts w:cs="Calibri"/>
          <w:szCs w:val="22"/>
          <w:lang w:val="fo-FO"/>
        </w:rPr>
      </w:pPr>
    </w:p>
    <w:p w14:paraId="18B6AF1E" w14:textId="7F1531C8" w:rsidR="00287FD8" w:rsidRPr="00287FD8" w:rsidRDefault="00287FD8" w:rsidP="00F02B1B">
      <w:pPr>
        <w:jc w:val="both"/>
        <w:rPr>
          <w:rFonts w:cs="Calibri"/>
          <w:i/>
          <w:iCs/>
          <w:szCs w:val="22"/>
          <w:lang w:val="fo-FO"/>
        </w:rPr>
      </w:pPr>
      <w:r w:rsidRPr="00287FD8">
        <w:rPr>
          <w:rFonts w:cs="Calibri"/>
          <w:i/>
          <w:iCs/>
          <w:szCs w:val="22"/>
          <w:lang w:val="fo-FO"/>
        </w:rPr>
        <w:t>Avmarking: Fartelefonir eru ikki við frá byrjan, men veitarar eru vælkomnir at geva prís. Prísurin og tænasta verður ikki rokna við í samlaðu metingini.</w:t>
      </w:r>
    </w:p>
    <w:p w14:paraId="369B7122" w14:textId="04500125" w:rsidR="00FE35FB" w:rsidRPr="00F043AA" w:rsidRDefault="00FE35FB" w:rsidP="00F02B1B">
      <w:pPr>
        <w:jc w:val="both"/>
        <w:rPr>
          <w:rFonts w:cs="Calibri"/>
          <w:szCs w:val="22"/>
          <w:lang w:val="fo-FO"/>
        </w:rPr>
      </w:pPr>
    </w:p>
    <w:p w14:paraId="0C48891D" w14:textId="3B637787" w:rsidR="00FE35FB" w:rsidRPr="00F043AA" w:rsidRDefault="00FE35FB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>Tøl fyri 2019, 2022</w:t>
      </w:r>
      <w:r w:rsidR="00A02EFB">
        <w:rPr>
          <w:rFonts w:cs="Calibri"/>
          <w:szCs w:val="22"/>
          <w:lang w:val="fo-FO"/>
        </w:rPr>
        <w:t xml:space="preserve">, </w:t>
      </w:r>
      <w:r w:rsidRPr="00F043AA">
        <w:rPr>
          <w:rFonts w:cs="Calibri"/>
          <w:szCs w:val="22"/>
          <w:lang w:val="fo-FO"/>
        </w:rPr>
        <w:t xml:space="preserve">2021 </w:t>
      </w:r>
      <w:r w:rsidR="00A02EFB">
        <w:rPr>
          <w:rFonts w:cs="Calibri"/>
          <w:szCs w:val="22"/>
          <w:lang w:val="fo-FO"/>
        </w:rPr>
        <w:t xml:space="preserve">og fyribils 2022 </w:t>
      </w:r>
      <w:r w:rsidR="00160ACB" w:rsidRPr="00F043AA">
        <w:rPr>
          <w:rFonts w:cs="Calibri"/>
          <w:szCs w:val="22"/>
          <w:lang w:val="fo-FO"/>
        </w:rPr>
        <w:t xml:space="preserve">vísa, at SHV keypti </w:t>
      </w:r>
      <w:r w:rsidR="00E15A82" w:rsidRPr="00F043AA">
        <w:rPr>
          <w:rFonts w:cs="Calibri"/>
          <w:szCs w:val="22"/>
          <w:lang w:val="fo-FO"/>
        </w:rPr>
        <w:t xml:space="preserve">áleiðis </w:t>
      </w:r>
      <w:r w:rsidR="00A02EFB">
        <w:rPr>
          <w:rFonts w:cs="Calibri"/>
          <w:szCs w:val="22"/>
          <w:lang w:val="fo-FO"/>
        </w:rPr>
        <w:t>60</w:t>
      </w:r>
      <w:r w:rsidR="00E15A82" w:rsidRPr="00F043AA">
        <w:rPr>
          <w:rFonts w:cs="Calibri"/>
          <w:szCs w:val="22"/>
          <w:lang w:val="fo-FO"/>
        </w:rPr>
        <w:t xml:space="preserve">0 </w:t>
      </w:r>
      <w:r w:rsidR="00160ACB" w:rsidRPr="00F043AA">
        <w:rPr>
          <w:rFonts w:cs="Calibri"/>
          <w:szCs w:val="22"/>
          <w:lang w:val="fo-FO"/>
        </w:rPr>
        <w:t xml:space="preserve">teldur og </w:t>
      </w:r>
      <w:r w:rsidR="00BE0BF7">
        <w:rPr>
          <w:rFonts w:cs="Calibri"/>
          <w:szCs w:val="22"/>
          <w:lang w:val="fo-FO"/>
        </w:rPr>
        <w:t>150</w:t>
      </w:r>
      <w:r w:rsidR="00160ACB" w:rsidRPr="00F043AA">
        <w:rPr>
          <w:rFonts w:cs="Calibri"/>
          <w:color w:val="FF0000"/>
          <w:szCs w:val="22"/>
          <w:lang w:val="fo-FO"/>
        </w:rPr>
        <w:t xml:space="preserve"> </w:t>
      </w:r>
      <w:r w:rsidR="00160ACB" w:rsidRPr="00F043AA">
        <w:rPr>
          <w:rFonts w:cs="Calibri"/>
          <w:szCs w:val="22"/>
          <w:lang w:val="fo-FO"/>
        </w:rPr>
        <w:t>fartelefonir.</w:t>
      </w:r>
    </w:p>
    <w:p w14:paraId="0F090195" w14:textId="0C7BBC2D" w:rsidR="00725926" w:rsidRPr="00F043AA" w:rsidRDefault="00725926" w:rsidP="00F02B1B">
      <w:pPr>
        <w:jc w:val="both"/>
        <w:rPr>
          <w:rFonts w:cs="Calibri"/>
          <w:szCs w:val="22"/>
          <w:lang w:val="fo-FO"/>
        </w:rPr>
      </w:pPr>
    </w:p>
    <w:p w14:paraId="01EED0A2" w14:textId="41C698DD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7AE33119" w14:textId="4DECFB1C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176A4A86" w14:textId="3B8894A2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01BAD689" w14:textId="3C09DBD0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614291A1" w14:textId="6B48021B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4485C723" w14:textId="15FAF87C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581B6B16" w14:textId="1998FACF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1CDAA521" w14:textId="179AB08F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24741A32" w14:textId="34C66274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39BBD1DC" w14:textId="77777777" w:rsidR="00393731" w:rsidRPr="00F043AA" w:rsidRDefault="00393731" w:rsidP="00F02B1B">
      <w:pPr>
        <w:jc w:val="both"/>
        <w:rPr>
          <w:rFonts w:cs="Calibri"/>
          <w:szCs w:val="22"/>
          <w:lang w:val="fo-FO"/>
        </w:rPr>
      </w:pPr>
    </w:p>
    <w:p w14:paraId="5B325170" w14:textId="2F1372A6" w:rsidR="00725926" w:rsidRPr="00F043AA" w:rsidRDefault="00A02EFB" w:rsidP="005D0023">
      <w:pPr>
        <w:pStyle w:val="Heading2"/>
      </w:pPr>
      <w:r>
        <w:t>Útgerð í SHV</w:t>
      </w:r>
    </w:p>
    <w:p w14:paraId="1D62D375" w14:textId="5E8FB0F5" w:rsidR="0036660F" w:rsidRPr="00F043AA" w:rsidRDefault="00C03DAC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>Tølini</w:t>
      </w:r>
      <w:r w:rsidR="0036660F" w:rsidRPr="00F043AA">
        <w:rPr>
          <w:rFonts w:cs="Calibri"/>
          <w:szCs w:val="22"/>
          <w:lang w:val="fo-FO"/>
        </w:rPr>
        <w:t xml:space="preserve"> í </w:t>
      </w:r>
      <w:r w:rsidRPr="00F043AA">
        <w:rPr>
          <w:rFonts w:cs="Calibri"/>
          <w:szCs w:val="22"/>
          <w:lang w:val="fo-FO"/>
        </w:rPr>
        <w:t>tabellini</w:t>
      </w:r>
      <w:r w:rsidR="0036660F" w:rsidRPr="00F043AA">
        <w:rPr>
          <w:rFonts w:cs="Calibri"/>
          <w:szCs w:val="22"/>
          <w:lang w:val="fo-FO"/>
        </w:rPr>
        <w:t xml:space="preserve"> niðanfyri</w:t>
      </w:r>
      <w:r w:rsidRPr="00F043AA">
        <w:rPr>
          <w:rFonts w:cs="Calibri"/>
          <w:szCs w:val="22"/>
          <w:lang w:val="fo-FO"/>
        </w:rPr>
        <w:t xml:space="preserve"> eru</w:t>
      </w:r>
      <w:r w:rsidR="0036660F" w:rsidRPr="00F043AA">
        <w:rPr>
          <w:rFonts w:cs="Calibri"/>
          <w:szCs w:val="22"/>
          <w:lang w:val="fo-FO"/>
        </w:rPr>
        <w:t xml:space="preserve"> frá 2022. 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9F315D" w:rsidRPr="00F043AA" w14:paraId="10682196" w14:textId="77777777" w:rsidTr="009F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A05555" w14:textId="57A01F70" w:rsidR="006C1A21" w:rsidRPr="00F043AA" w:rsidRDefault="006C1A21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 xml:space="preserve">Tekstur </w:t>
            </w:r>
          </w:p>
        </w:tc>
        <w:tc>
          <w:tcPr>
            <w:tcW w:w="2835" w:type="dxa"/>
          </w:tcPr>
          <w:p w14:paraId="71F64954" w14:textId="6B556B38" w:rsidR="006C1A21" w:rsidRPr="00F043AA" w:rsidRDefault="006C1A21" w:rsidP="00F02B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Tal</w:t>
            </w:r>
          </w:p>
        </w:tc>
      </w:tr>
      <w:tr w:rsidR="006C1A21" w:rsidRPr="00F043AA" w14:paraId="52EC7B0B" w14:textId="65401923" w:rsidTr="009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CAFA2E" w14:textId="729D3C3E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 xml:space="preserve">Tal av starvsfólkum </w:t>
            </w:r>
          </w:p>
        </w:tc>
        <w:tc>
          <w:tcPr>
            <w:tcW w:w="2835" w:type="dxa"/>
          </w:tcPr>
          <w:p w14:paraId="67114BF9" w14:textId="4E92E890" w:rsidR="006C1A21" w:rsidRPr="00F043AA" w:rsidRDefault="006C1A21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~1500</w:t>
            </w:r>
          </w:p>
        </w:tc>
      </w:tr>
      <w:tr w:rsidR="006C1A21" w:rsidRPr="00F043AA" w14:paraId="118C6DF7" w14:textId="3C69857B" w:rsidTr="009F31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394803" w14:textId="77777777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 xml:space="preserve">Farteldur </w:t>
            </w:r>
          </w:p>
        </w:tc>
        <w:tc>
          <w:tcPr>
            <w:tcW w:w="2835" w:type="dxa"/>
          </w:tcPr>
          <w:p w14:paraId="373299D3" w14:textId="0257C3C2" w:rsidR="006C1A21" w:rsidRPr="00F043AA" w:rsidRDefault="0016065F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472</w:t>
            </w:r>
          </w:p>
        </w:tc>
      </w:tr>
      <w:tr w:rsidR="006C1A21" w:rsidRPr="00F043AA" w14:paraId="65729302" w14:textId="77777777" w:rsidTr="009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042CCA" w14:textId="14C7944F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Stationerteldur</w:t>
            </w:r>
          </w:p>
        </w:tc>
        <w:tc>
          <w:tcPr>
            <w:tcW w:w="2835" w:type="dxa"/>
          </w:tcPr>
          <w:p w14:paraId="1D3716CE" w14:textId="3DB7CC18" w:rsidR="006C1A21" w:rsidRPr="00F043AA" w:rsidRDefault="00EF6E80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7</w:t>
            </w:r>
            <w:r w:rsidR="004C3060" w:rsidRPr="00F043AA">
              <w:rPr>
                <w:rFonts w:cs="Calibri"/>
                <w:szCs w:val="22"/>
                <w:lang w:val="fo-FO"/>
              </w:rPr>
              <w:t>6</w:t>
            </w:r>
            <w:r w:rsidRPr="00F043AA">
              <w:rPr>
                <w:rFonts w:cs="Calibri"/>
                <w:szCs w:val="22"/>
                <w:lang w:val="fo-FO"/>
              </w:rPr>
              <w:t>6</w:t>
            </w:r>
          </w:p>
        </w:tc>
      </w:tr>
      <w:tr w:rsidR="006C1A21" w:rsidRPr="00F043AA" w14:paraId="5F827A76" w14:textId="77777777" w:rsidTr="009F31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2EAE79" w14:textId="0FD77AAF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34” skermar</w:t>
            </w:r>
          </w:p>
        </w:tc>
        <w:tc>
          <w:tcPr>
            <w:tcW w:w="2835" w:type="dxa"/>
          </w:tcPr>
          <w:p w14:paraId="04E85145" w14:textId="424ED625" w:rsidR="006C1A21" w:rsidRPr="00F043AA" w:rsidRDefault="0016065F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40</w:t>
            </w:r>
          </w:p>
        </w:tc>
      </w:tr>
      <w:tr w:rsidR="006C1A21" w:rsidRPr="00F043AA" w14:paraId="205AB164" w14:textId="77777777" w:rsidTr="009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BFDD69" w14:textId="381ED118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24” skermar</w:t>
            </w:r>
          </w:p>
        </w:tc>
        <w:tc>
          <w:tcPr>
            <w:tcW w:w="2835" w:type="dxa"/>
          </w:tcPr>
          <w:p w14:paraId="0C9DE4AE" w14:textId="3DA9D4EE" w:rsidR="006C1A21" w:rsidRPr="00F043AA" w:rsidRDefault="0016065F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831</w:t>
            </w:r>
          </w:p>
        </w:tc>
      </w:tr>
      <w:tr w:rsidR="006C1A21" w:rsidRPr="00F043AA" w14:paraId="5057C740" w14:textId="77777777" w:rsidTr="009F31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B263A7" w14:textId="79EB92BF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Keyboard &amp; mús</w:t>
            </w:r>
          </w:p>
        </w:tc>
        <w:tc>
          <w:tcPr>
            <w:tcW w:w="2835" w:type="dxa"/>
          </w:tcPr>
          <w:p w14:paraId="17A5D7E2" w14:textId="1B3947A9" w:rsidR="006C1A21" w:rsidRPr="00F043AA" w:rsidRDefault="0016065F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784</w:t>
            </w:r>
          </w:p>
        </w:tc>
      </w:tr>
      <w:tr w:rsidR="006C1A21" w:rsidRPr="00F043AA" w14:paraId="2A926641" w14:textId="77777777" w:rsidTr="009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D0B935" w14:textId="4A3B1466" w:rsidR="006C1A21" w:rsidRPr="00F043AA" w:rsidRDefault="006C1A21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Dockingstøð</w:t>
            </w:r>
          </w:p>
        </w:tc>
        <w:tc>
          <w:tcPr>
            <w:tcW w:w="2835" w:type="dxa"/>
          </w:tcPr>
          <w:p w14:paraId="4D5E027D" w14:textId="396652FB" w:rsidR="006C1A21" w:rsidRPr="00F043AA" w:rsidRDefault="0016065F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2</w:t>
            </w:r>
            <w:r w:rsidR="004C3060" w:rsidRPr="00F043AA">
              <w:rPr>
                <w:rFonts w:cs="Calibri"/>
                <w:szCs w:val="22"/>
                <w:lang w:val="fo-FO"/>
              </w:rPr>
              <w:t>6</w:t>
            </w:r>
            <w:r w:rsidR="00EF6E80" w:rsidRPr="00F043AA">
              <w:rPr>
                <w:rFonts w:cs="Calibri"/>
                <w:szCs w:val="22"/>
                <w:lang w:val="fo-FO"/>
              </w:rPr>
              <w:t>3</w:t>
            </w:r>
          </w:p>
        </w:tc>
      </w:tr>
      <w:tr w:rsidR="003D0899" w:rsidRPr="00F043AA" w14:paraId="6B256A5C" w14:textId="77777777" w:rsidTr="009F31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314686" w14:textId="604ADDFC" w:rsidR="003D0899" w:rsidRPr="00F043AA" w:rsidRDefault="003D0899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Fartelefonir</w:t>
            </w:r>
          </w:p>
        </w:tc>
        <w:tc>
          <w:tcPr>
            <w:tcW w:w="2835" w:type="dxa"/>
          </w:tcPr>
          <w:p w14:paraId="026B5841" w14:textId="580DE973" w:rsidR="003D0899" w:rsidRPr="00F043AA" w:rsidRDefault="00BE0BF7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120</w:t>
            </w:r>
          </w:p>
        </w:tc>
      </w:tr>
      <w:tr w:rsidR="003D0899" w:rsidRPr="00F043AA" w14:paraId="2E08FAF2" w14:textId="77777777" w:rsidTr="009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B1557B" w14:textId="53B27268" w:rsidR="003D0899" w:rsidRPr="00F043AA" w:rsidRDefault="003D0899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Prentarar</w:t>
            </w:r>
          </w:p>
        </w:tc>
        <w:tc>
          <w:tcPr>
            <w:tcW w:w="2835" w:type="dxa"/>
          </w:tcPr>
          <w:p w14:paraId="5C290DF3" w14:textId="54C58B3D" w:rsidR="003D0899" w:rsidRPr="00F043AA" w:rsidRDefault="00D23972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7</w:t>
            </w:r>
            <w:r w:rsidR="004C3060" w:rsidRPr="00F043AA">
              <w:rPr>
                <w:rFonts w:cs="Calibri"/>
                <w:szCs w:val="22"/>
                <w:lang w:val="fo-FO"/>
              </w:rPr>
              <w:t>0</w:t>
            </w:r>
          </w:p>
        </w:tc>
      </w:tr>
    </w:tbl>
    <w:p w14:paraId="3D7CC445" w14:textId="46AECAD2" w:rsidR="0036660F" w:rsidRPr="00F043AA" w:rsidRDefault="0036660F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>Tað er ymiskt</w:t>
      </w:r>
      <w:r w:rsidR="00C03DAC" w:rsidRPr="00F043AA">
        <w:rPr>
          <w:rFonts w:cs="Calibri"/>
          <w:szCs w:val="22"/>
          <w:lang w:val="fo-FO"/>
        </w:rPr>
        <w:t>,</w:t>
      </w:r>
      <w:r w:rsidRPr="00F043AA">
        <w:rPr>
          <w:rFonts w:cs="Calibri"/>
          <w:szCs w:val="22"/>
          <w:lang w:val="fo-FO"/>
        </w:rPr>
        <w:t xml:space="preserve"> hvussu long livitíðin á KT útgerð er. Serliga </w:t>
      </w:r>
      <w:r w:rsidR="001912AD" w:rsidRPr="00F043AA">
        <w:rPr>
          <w:rFonts w:cs="Calibri"/>
          <w:szCs w:val="22"/>
          <w:lang w:val="fo-FO"/>
        </w:rPr>
        <w:t xml:space="preserve">eru tað </w:t>
      </w:r>
      <w:r w:rsidR="00F22E33" w:rsidRPr="00F043AA">
        <w:rPr>
          <w:rFonts w:cs="Calibri"/>
          <w:szCs w:val="22"/>
          <w:lang w:val="fo-FO"/>
        </w:rPr>
        <w:t>sokallað</w:t>
      </w:r>
      <w:r w:rsidR="00393731" w:rsidRPr="00F043AA">
        <w:rPr>
          <w:rFonts w:cs="Calibri"/>
          <w:szCs w:val="22"/>
          <w:lang w:val="fo-FO"/>
        </w:rPr>
        <w:t>a</w:t>
      </w:r>
      <w:r w:rsidR="00F22E33" w:rsidRPr="00F043AA">
        <w:rPr>
          <w:rFonts w:cs="Calibri"/>
          <w:szCs w:val="22"/>
          <w:lang w:val="fo-FO"/>
        </w:rPr>
        <w:t xml:space="preserve">r kiosk </w:t>
      </w:r>
      <w:r w:rsidR="001912AD" w:rsidRPr="00F043AA">
        <w:rPr>
          <w:rFonts w:cs="Calibri"/>
          <w:szCs w:val="22"/>
          <w:lang w:val="fo-FO"/>
        </w:rPr>
        <w:t>t</w:t>
      </w:r>
      <w:r w:rsidR="00C03DAC" w:rsidRPr="00F043AA">
        <w:rPr>
          <w:rFonts w:cs="Calibri"/>
          <w:szCs w:val="22"/>
          <w:lang w:val="fo-FO"/>
        </w:rPr>
        <w:t>eldu</w:t>
      </w:r>
      <w:r w:rsidR="001912AD" w:rsidRPr="00F043AA">
        <w:rPr>
          <w:rFonts w:cs="Calibri"/>
          <w:szCs w:val="22"/>
          <w:lang w:val="fo-FO"/>
        </w:rPr>
        <w:t>r</w:t>
      </w:r>
      <w:r w:rsidR="00F22E33" w:rsidRPr="00F043AA">
        <w:rPr>
          <w:rFonts w:cs="Calibri"/>
          <w:szCs w:val="22"/>
          <w:lang w:val="fo-FO"/>
        </w:rPr>
        <w:t xml:space="preserve"> (thin clients) har livitíðin kann verða </w:t>
      </w:r>
      <w:r w:rsidRPr="00F043AA">
        <w:rPr>
          <w:rFonts w:cs="Calibri"/>
          <w:szCs w:val="22"/>
          <w:lang w:val="fo-FO"/>
        </w:rPr>
        <w:t>upp í 8</w:t>
      </w:r>
      <w:r w:rsidR="004C3060" w:rsidRPr="00F043AA">
        <w:rPr>
          <w:rFonts w:cs="Calibri"/>
          <w:szCs w:val="22"/>
          <w:lang w:val="fo-FO"/>
        </w:rPr>
        <w:t>+</w:t>
      </w:r>
      <w:r w:rsidRPr="00F043AA">
        <w:rPr>
          <w:rFonts w:cs="Calibri"/>
          <w:szCs w:val="22"/>
          <w:lang w:val="fo-FO"/>
        </w:rPr>
        <w:t xml:space="preserve"> ár</w:t>
      </w:r>
      <w:r w:rsidR="00F22E33" w:rsidRPr="00F043AA">
        <w:rPr>
          <w:rFonts w:cs="Calibri"/>
          <w:szCs w:val="22"/>
          <w:lang w:val="fo-FO"/>
        </w:rPr>
        <w:t xml:space="preserve">. Teldur, </w:t>
      </w:r>
      <w:r w:rsidRPr="00F043AA">
        <w:rPr>
          <w:rFonts w:cs="Calibri"/>
          <w:szCs w:val="22"/>
          <w:lang w:val="fo-FO"/>
        </w:rPr>
        <w:t>sum antin eru persónligar</w:t>
      </w:r>
      <w:r w:rsidR="004C3060" w:rsidRPr="00F043AA">
        <w:rPr>
          <w:rFonts w:cs="Calibri"/>
          <w:szCs w:val="22"/>
          <w:lang w:val="fo-FO"/>
        </w:rPr>
        <w:t>, t.e. tilskrivað eitt ávíst starvsfólk,</w:t>
      </w:r>
      <w:r w:rsidRPr="00F043AA">
        <w:rPr>
          <w:rFonts w:cs="Calibri"/>
          <w:szCs w:val="22"/>
          <w:lang w:val="fo-FO"/>
        </w:rPr>
        <w:t xml:space="preserve"> ella ikki verða nýttar til </w:t>
      </w:r>
      <w:r w:rsidR="00F22E33" w:rsidRPr="00F043AA">
        <w:rPr>
          <w:rFonts w:cs="Calibri"/>
          <w:szCs w:val="22"/>
          <w:lang w:val="fo-FO"/>
        </w:rPr>
        <w:t xml:space="preserve">kiosk, </w:t>
      </w:r>
      <w:r w:rsidR="00AD6F91" w:rsidRPr="00F043AA">
        <w:rPr>
          <w:rFonts w:cs="Calibri"/>
          <w:szCs w:val="22"/>
          <w:lang w:val="fo-FO"/>
        </w:rPr>
        <w:t xml:space="preserve">er livitíðin </w:t>
      </w:r>
      <w:r w:rsidR="00F22E33" w:rsidRPr="00F043AA">
        <w:rPr>
          <w:rFonts w:cs="Calibri"/>
          <w:szCs w:val="22"/>
          <w:lang w:val="fo-FO"/>
        </w:rPr>
        <w:t xml:space="preserve">munandi </w:t>
      </w:r>
      <w:r w:rsidR="004C3060" w:rsidRPr="00F043AA">
        <w:rPr>
          <w:rFonts w:cs="Calibri"/>
          <w:szCs w:val="22"/>
          <w:lang w:val="fo-FO"/>
        </w:rPr>
        <w:t>styttri</w:t>
      </w:r>
      <w:r w:rsidR="00F22E33" w:rsidRPr="00F043AA">
        <w:rPr>
          <w:rFonts w:cs="Calibri"/>
          <w:szCs w:val="22"/>
          <w:lang w:val="fo-FO"/>
        </w:rPr>
        <w:t xml:space="preserve">; </w:t>
      </w:r>
      <w:r w:rsidR="00AD6F91" w:rsidRPr="00F043AA">
        <w:rPr>
          <w:rFonts w:cs="Calibri"/>
          <w:szCs w:val="22"/>
          <w:lang w:val="fo-FO"/>
        </w:rPr>
        <w:t>vanliga 5</w:t>
      </w:r>
      <w:r w:rsidR="00393731" w:rsidRPr="00F043AA">
        <w:rPr>
          <w:rFonts w:cs="Calibri"/>
          <w:szCs w:val="22"/>
          <w:lang w:val="fo-FO"/>
        </w:rPr>
        <w:t xml:space="preserve"> </w:t>
      </w:r>
      <w:r w:rsidR="00AD6F91" w:rsidRPr="00F043AA">
        <w:rPr>
          <w:rFonts w:cs="Calibri"/>
          <w:szCs w:val="22"/>
          <w:lang w:val="fo-FO"/>
        </w:rPr>
        <w:t>ár</w:t>
      </w:r>
      <w:r w:rsidR="00C03DAC" w:rsidRPr="00F043AA">
        <w:rPr>
          <w:rFonts w:cs="Calibri"/>
          <w:szCs w:val="22"/>
          <w:lang w:val="fo-FO"/>
        </w:rPr>
        <w:t>.</w:t>
      </w:r>
    </w:p>
    <w:p w14:paraId="74208D13" w14:textId="77777777" w:rsidR="0036660F" w:rsidRPr="00F043AA" w:rsidRDefault="0036660F" w:rsidP="00F02B1B">
      <w:pPr>
        <w:jc w:val="both"/>
        <w:rPr>
          <w:rFonts w:cs="Calibri"/>
          <w:szCs w:val="22"/>
          <w:lang w:val="fo-FO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756FBD" w:rsidRPr="00F043AA" w14:paraId="0FD6E2DE" w14:textId="77777777" w:rsidTr="009D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825491" w14:textId="195BB3CD" w:rsidR="0036660F" w:rsidRPr="00F043AA" w:rsidRDefault="00AD6F91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Væntað keyp við eini livitíð á 5 ár</w:t>
            </w:r>
            <w:r w:rsidR="0036660F" w:rsidRPr="00F043AA">
              <w:rPr>
                <w:rFonts w:cs="Calibri"/>
                <w:szCs w:val="22"/>
                <w:lang w:val="fo-FO"/>
              </w:rPr>
              <w:t xml:space="preserve"> </w:t>
            </w:r>
          </w:p>
        </w:tc>
        <w:tc>
          <w:tcPr>
            <w:tcW w:w="3119" w:type="dxa"/>
          </w:tcPr>
          <w:p w14:paraId="00F34626" w14:textId="07B1A261" w:rsidR="0036660F" w:rsidRPr="00F043AA" w:rsidRDefault="0036660F" w:rsidP="00F02B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Tal</w:t>
            </w:r>
            <w:r w:rsidR="009D48A5">
              <w:rPr>
                <w:rFonts w:cs="Calibri"/>
                <w:szCs w:val="22"/>
                <w:lang w:val="fo-FO"/>
              </w:rPr>
              <w:t xml:space="preserve"> pr. Ár (kann veriera!)</w:t>
            </w:r>
          </w:p>
        </w:tc>
      </w:tr>
      <w:tr w:rsidR="00756FBD" w:rsidRPr="00F043AA" w14:paraId="23D395A6" w14:textId="77777777" w:rsidTr="009D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A1AF62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 xml:space="preserve">Farteldur </w:t>
            </w:r>
          </w:p>
        </w:tc>
        <w:tc>
          <w:tcPr>
            <w:tcW w:w="3119" w:type="dxa"/>
          </w:tcPr>
          <w:p w14:paraId="71D21745" w14:textId="3B65AE21" w:rsidR="0036660F" w:rsidRPr="00F043AA" w:rsidRDefault="00EF6E80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94</w:t>
            </w:r>
          </w:p>
        </w:tc>
      </w:tr>
      <w:tr w:rsidR="0036660F" w:rsidRPr="00F043AA" w14:paraId="19DB5B62" w14:textId="77777777" w:rsidTr="009D48A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20C438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Stationerteldur</w:t>
            </w:r>
          </w:p>
        </w:tc>
        <w:tc>
          <w:tcPr>
            <w:tcW w:w="3119" w:type="dxa"/>
          </w:tcPr>
          <w:p w14:paraId="0F1453B1" w14:textId="53137263" w:rsidR="0036660F" w:rsidRPr="00F043AA" w:rsidRDefault="00EF6E80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143</w:t>
            </w:r>
          </w:p>
        </w:tc>
      </w:tr>
      <w:tr w:rsidR="0036660F" w:rsidRPr="00F043AA" w14:paraId="65A008E3" w14:textId="77777777" w:rsidTr="009D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D8D48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34” skermar</w:t>
            </w:r>
          </w:p>
        </w:tc>
        <w:tc>
          <w:tcPr>
            <w:tcW w:w="3119" w:type="dxa"/>
          </w:tcPr>
          <w:p w14:paraId="2D31ABFE" w14:textId="327AB2D4" w:rsidR="0036660F" w:rsidRPr="00F043AA" w:rsidRDefault="00EF6E80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8</w:t>
            </w:r>
          </w:p>
        </w:tc>
      </w:tr>
      <w:tr w:rsidR="0036660F" w:rsidRPr="00F043AA" w14:paraId="2E6E208F" w14:textId="77777777" w:rsidTr="009D48A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81CF98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24” skermar</w:t>
            </w:r>
          </w:p>
        </w:tc>
        <w:tc>
          <w:tcPr>
            <w:tcW w:w="3119" w:type="dxa"/>
          </w:tcPr>
          <w:p w14:paraId="5A05DFF8" w14:textId="186C9AE0" w:rsidR="0036660F" w:rsidRPr="00F043AA" w:rsidRDefault="00EF6E80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166</w:t>
            </w:r>
          </w:p>
        </w:tc>
      </w:tr>
      <w:tr w:rsidR="0036660F" w:rsidRPr="00F043AA" w14:paraId="06AE3B9E" w14:textId="77777777" w:rsidTr="009D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E3E444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Keyboard &amp; mús</w:t>
            </w:r>
          </w:p>
        </w:tc>
        <w:tc>
          <w:tcPr>
            <w:tcW w:w="3119" w:type="dxa"/>
          </w:tcPr>
          <w:p w14:paraId="2EB8E822" w14:textId="19924A3A" w:rsidR="0036660F" w:rsidRPr="00F043AA" w:rsidRDefault="00EF6E80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157</w:t>
            </w:r>
          </w:p>
        </w:tc>
      </w:tr>
      <w:tr w:rsidR="0036660F" w:rsidRPr="00F043AA" w14:paraId="16179A6A" w14:textId="77777777" w:rsidTr="009D48A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31D903" w14:textId="77777777" w:rsidR="0036660F" w:rsidRPr="00F043AA" w:rsidRDefault="0036660F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Dockingstøð</w:t>
            </w:r>
          </w:p>
        </w:tc>
        <w:tc>
          <w:tcPr>
            <w:tcW w:w="3119" w:type="dxa"/>
          </w:tcPr>
          <w:p w14:paraId="445F4645" w14:textId="61C81359" w:rsidR="0036660F" w:rsidRPr="00F043AA" w:rsidRDefault="00EF6E80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43</w:t>
            </w:r>
          </w:p>
        </w:tc>
      </w:tr>
      <w:tr w:rsidR="003D0899" w:rsidRPr="00F043AA" w14:paraId="57417160" w14:textId="77777777" w:rsidTr="009D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00F092" w14:textId="5CF92D3B" w:rsidR="003D0899" w:rsidRPr="00F043AA" w:rsidRDefault="003D0899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Prentarar</w:t>
            </w:r>
          </w:p>
        </w:tc>
        <w:tc>
          <w:tcPr>
            <w:tcW w:w="3119" w:type="dxa"/>
          </w:tcPr>
          <w:p w14:paraId="6019C257" w14:textId="5AF172A6" w:rsidR="003D0899" w:rsidRPr="00F043AA" w:rsidRDefault="00EC3148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15</w:t>
            </w:r>
          </w:p>
        </w:tc>
      </w:tr>
    </w:tbl>
    <w:p w14:paraId="55FC392D" w14:textId="482A5547" w:rsidR="00B357F0" w:rsidRPr="00F043AA" w:rsidRDefault="00B357F0" w:rsidP="00F02B1B">
      <w:pPr>
        <w:jc w:val="both"/>
        <w:rPr>
          <w:rFonts w:cs="Calibri"/>
          <w:b/>
          <w:lang w:val="fo-FO"/>
        </w:rPr>
      </w:pPr>
    </w:p>
    <w:p w14:paraId="0003945F" w14:textId="57732D23" w:rsidR="00AD6F91" w:rsidRPr="00F043AA" w:rsidRDefault="00AD6F91" w:rsidP="005D0023">
      <w:pPr>
        <w:pStyle w:val="Heading1"/>
      </w:pPr>
      <w:bookmarkStart w:id="3" w:name="_Toc117497588"/>
      <w:r w:rsidRPr="00F043AA">
        <w:t>Tíðarætlan</w:t>
      </w:r>
      <w:bookmarkEnd w:id="3"/>
    </w:p>
    <w:p w14:paraId="54B0D38C" w14:textId="51FFC098" w:rsidR="009F315D" w:rsidRPr="00F043AA" w:rsidRDefault="009F315D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KT útboðið verður væntandi </w:t>
      </w:r>
      <w:r w:rsidR="00C03DAC" w:rsidRPr="00F043AA">
        <w:rPr>
          <w:rFonts w:cs="Calibri"/>
          <w:szCs w:val="22"/>
          <w:lang w:val="fo-FO"/>
        </w:rPr>
        <w:t xml:space="preserve">fylgt </w:t>
      </w:r>
      <w:r w:rsidRPr="00F043AA">
        <w:rPr>
          <w:rFonts w:cs="Calibri"/>
          <w:szCs w:val="22"/>
          <w:lang w:val="fo-FO"/>
        </w:rPr>
        <w:t>eftir tíðarlinjuni í niðanfyristandandi tabell.</w:t>
      </w:r>
    </w:p>
    <w:p w14:paraId="04EA65B1" w14:textId="77777777" w:rsidR="009F315D" w:rsidRPr="00F043AA" w:rsidRDefault="009F315D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 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9F315D" w:rsidRPr="00F043AA" w14:paraId="1DC6439D" w14:textId="77777777" w:rsidTr="00F22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BF618" w14:textId="33696FFE" w:rsidR="009F315D" w:rsidRPr="00F043AA" w:rsidRDefault="009F315D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 xml:space="preserve">Tekstur </w:t>
            </w:r>
          </w:p>
        </w:tc>
        <w:tc>
          <w:tcPr>
            <w:tcW w:w="2977" w:type="dxa"/>
          </w:tcPr>
          <w:p w14:paraId="102CB271" w14:textId="4D2537B1" w:rsidR="009F315D" w:rsidRPr="00F043AA" w:rsidRDefault="009F315D" w:rsidP="00F02B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Dato</w:t>
            </w:r>
          </w:p>
        </w:tc>
      </w:tr>
      <w:tr w:rsidR="009F315D" w:rsidRPr="00F043AA" w14:paraId="35A1EA1C" w14:textId="77777777" w:rsidTr="00F2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1C981A" w14:textId="769B232B" w:rsidR="009F315D" w:rsidRPr="00F043AA" w:rsidRDefault="009F315D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Útboð lagt á keypsportal.fo</w:t>
            </w:r>
          </w:p>
        </w:tc>
        <w:tc>
          <w:tcPr>
            <w:tcW w:w="2977" w:type="dxa"/>
          </w:tcPr>
          <w:p w14:paraId="160414E2" w14:textId="388525DA" w:rsidR="009F315D" w:rsidRPr="00F043AA" w:rsidRDefault="00EC3148" w:rsidP="00F22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áleið 1</w:t>
            </w:r>
            <w:r w:rsidR="00F22E33" w:rsidRPr="00F043AA">
              <w:rPr>
                <w:rFonts w:cs="Calibri"/>
                <w:szCs w:val="22"/>
                <w:lang w:val="fo-FO"/>
              </w:rPr>
              <w:t xml:space="preserve">. </w:t>
            </w:r>
            <w:r>
              <w:rPr>
                <w:rFonts w:cs="Calibri"/>
                <w:szCs w:val="22"/>
                <w:lang w:val="fo-FO"/>
              </w:rPr>
              <w:t>nov</w:t>
            </w:r>
            <w:r w:rsidR="00F22E33" w:rsidRPr="00F043AA">
              <w:rPr>
                <w:rFonts w:cs="Calibri"/>
                <w:szCs w:val="22"/>
                <w:lang w:val="fo-FO"/>
              </w:rPr>
              <w:t>. 2022</w:t>
            </w:r>
          </w:p>
        </w:tc>
      </w:tr>
      <w:tr w:rsidR="009F315D" w:rsidRPr="00F043AA" w14:paraId="51DBDF0C" w14:textId="77777777" w:rsidTr="00F22E3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9EFD01" w14:textId="7E19D710" w:rsidR="009F315D" w:rsidRPr="00F043AA" w:rsidRDefault="009F315D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 xml:space="preserve">Spurnafreist </w:t>
            </w:r>
          </w:p>
        </w:tc>
        <w:tc>
          <w:tcPr>
            <w:tcW w:w="2977" w:type="dxa"/>
          </w:tcPr>
          <w:p w14:paraId="315CD81F" w14:textId="4D7697BD" w:rsidR="009F315D" w:rsidRPr="00F043AA" w:rsidRDefault="00EC3148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7</w:t>
            </w:r>
            <w:r w:rsidR="001B2E94" w:rsidRPr="00F043AA">
              <w:rPr>
                <w:rFonts w:cs="Calibri"/>
                <w:szCs w:val="22"/>
                <w:lang w:val="fo-FO"/>
              </w:rPr>
              <w:t xml:space="preserve">. – </w:t>
            </w:r>
            <w:r>
              <w:rPr>
                <w:rFonts w:cs="Calibri"/>
                <w:szCs w:val="22"/>
                <w:lang w:val="fo-FO"/>
              </w:rPr>
              <w:t>11</w:t>
            </w:r>
            <w:r w:rsidR="001B2E94" w:rsidRPr="00F043AA">
              <w:rPr>
                <w:rFonts w:cs="Calibri"/>
                <w:szCs w:val="22"/>
                <w:lang w:val="fo-FO"/>
              </w:rPr>
              <w:t xml:space="preserve">. </w:t>
            </w:r>
            <w:r>
              <w:rPr>
                <w:rFonts w:cs="Calibri"/>
                <w:szCs w:val="22"/>
                <w:lang w:val="fo-FO"/>
              </w:rPr>
              <w:t>nov</w:t>
            </w:r>
            <w:r w:rsidR="001B2E94" w:rsidRPr="00F043AA">
              <w:rPr>
                <w:rFonts w:cs="Calibri"/>
                <w:szCs w:val="22"/>
                <w:lang w:val="fo-FO"/>
              </w:rPr>
              <w:t>. 2022</w:t>
            </w:r>
          </w:p>
        </w:tc>
      </w:tr>
      <w:tr w:rsidR="001B2E94" w:rsidRPr="00F043AA" w14:paraId="095B2813" w14:textId="77777777" w:rsidTr="00F2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9A2602" w14:textId="3D34F626" w:rsidR="001B2E94" w:rsidRPr="00F043AA" w:rsidRDefault="001B2E94" w:rsidP="00F02B1B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Spurningar &amp; svar á keypsportal.fo</w:t>
            </w:r>
          </w:p>
        </w:tc>
        <w:tc>
          <w:tcPr>
            <w:tcW w:w="2977" w:type="dxa"/>
          </w:tcPr>
          <w:p w14:paraId="7DB0F95C" w14:textId="4054B719" w:rsidR="001B2E94" w:rsidRPr="00F043AA" w:rsidRDefault="00EC3148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 xml:space="preserve">Seinast </w:t>
            </w:r>
            <w:r w:rsidR="001B2E94" w:rsidRPr="00F043AA">
              <w:rPr>
                <w:rFonts w:cs="Calibri"/>
                <w:szCs w:val="22"/>
                <w:lang w:val="fo-FO"/>
              </w:rPr>
              <w:t>1</w:t>
            </w:r>
            <w:r>
              <w:rPr>
                <w:rFonts w:cs="Calibri"/>
                <w:szCs w:val="22"/>
                <w:lang w:val="fo-FO"/>
              </w:rPr>
              <w:t>8</w:t>
            </w:r>
            <w:r w:rsidR="001B2E94" w:rsidRPr="00F043AA">
              <w:rPr>
                <w:rFonts w:cs="Calibri"/>
                <w:szCs w:val="22"/>
                <w:lang w:val="fo-FO"/>
              </w:rPr>
              <w:t xml:space="preserve">. </w:t>
            </w:r>
            <w:r>
              <w:rPr>
                <w:rFonts w:cs="Calibri"/>
                <w:szCs w:val="22"/>
                <w:lang w:val="fo-FO"/>
              </w:rPr>
              <w:t>nov</w:t>
            </w:r>
            <w:r w:rsidR="001B2E94" w:rsidRPr="00F043AA">
              <w:rPr>
                <w:rFonts w:cs="Calibri"/>
                <w:szCs w:val="22"/>
                <w:lang w:val="fo-FO"/>
              </w:rPr>
              <w:t>. 2022</w:t>
            </w:r>
          </w:p>
        </w:tc>
      </w:tr>
      <w:tr w:rsidR="009F315D" w:rsidRPr="00F043AA" w14:paraId="0842CE06" w14:textId="77777777" w:rsidTr="00F22E3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08BBA1" w14:textId="155ACC09" w:rsidR="009F315D" w:rsidRPr="00F043AA" w:rsidRDefault="009F315D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Tilboðsfreist</w:t>
            </w:r>
          </w:p>
        </w:tc>
        <w:tc>
          <w:tcPr>
            <w:tcW w:w="2977" w:type="dxa"/>
          </w:tcPr>
          <w:p w14:paraId="1912FB63" w14:textId="352843B9" w:rsidR="009F315D" w:rsidRPr="00F043AA" w:rsidRDefault="004C3060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2</w:t>
            </w:r>
            <w:r w:rsidR="00EC3148">
              <w:rPr>
                <w:rFonts w:cs="Calibri"/>
                <w:szCs w:val="22"/>
                <w:lang w:val="fo-FO"/>
              </w:rPr>
              <w:t>8</w:t>
            </w:r>
            <w:r w:rsidR="00F22E33" w:rsidRPr="00F043AA">
              <w:rPr>
                <w:rFonts w:cs="Calibri"/>
                <w:szCs w:val="22"/>
                <w:lang w:val="fo-FO"/>
              </w:rPr>
              <w:t xml:space="preserve">. </w:t>
            </w:r>
            <w:r w:rsidR="00EC3148">
              <w:rPr>
                <w:rFonts w:cs="Calibri"/>
                <w:szCs w:val="22"/>
                <w:lang w:val="fo-FO"/>
              </w:rPr>
              <w:t>nov</w:t>
            </w:r>
            <w:r w:rsidR="00F22E33" w:rsidRPr="00F043AA">
              <w:rPr>
                <w:rFonts w:cs="Calibri"/>
                <w:szCs w:val="22"/>
                <w:lang w:val="fo-FO"/>
              </w:rPr>
              <w:t>. 2022, kl. 23:59</w:t>
            </w:r>
          </w:p>
        </w:tc>
      </w:tr>
      <w:tr w:rsidR="009F315D" w:rsidRPr="00F043AA" w14:paraId="26905835" w14:textId="77777777" w:rsidTr="00F2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5E6737B" w14:textId="1BC0A95F" w:rsidR="009F315D" w:rsidRPr="00F043AA" w:rsidRDefault="009F315D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Avgerð og kunngerð av vinnara</w:t>
            </w:r>
          </w:p>
        </w:tc>
        <w:tc>
          <w:tcPr>
            <w:tcW w:w="2977" w:type="dxa"/>
          </w:tcPr>
          <w:p w14:paraId="74E8EB1B" w14:textId="72C2CABF" w:rsidR="009F315D" w:rsidRPr="00F043AA" w:rsidRDefault="00F22E33" w:rsidP="00F02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 xml:space="preserve">Vika </w:t>
            </w:r>
            <w:r w:rsidR="00EC3148">
              <w:rPr>
                <w:rFonts w:cs="Calibri"/>
                <w:szCs w:val="22"/>
                <w:lang w:val="fo-FO"/>
              </w:rPr>
              <w:t>5</w:t>
            </w:r>
            <w:r w:rsidR="004C3060" w:rsidRPr="00F043AA">
              <w:rPr>
                <w:rFonts w:cs="Calibri"/>
                <w:szCs w:val="22"/>
                <w:lang w:val="fo-FO"/>
              </w:rPr>
              <w:t>0</w:t>
            </w:r>
          </w:p>
        </w:tc>
      </w:tr>
      <w:tr w:rsidR="009F315D" w:rsidRPr="00F043AA" w14:paraId="6DCCCDC1" w14:textId="77777777" w:rsidTr="00F22E3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7E4BDA" w14:textId="40744230" w:rsidR="009F315D" w:rsidRPr="00F043AA" w:rsidRDefault="009F315D" w:rsidP="00F02B1B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Rammusáttmálin við vinnara byrjar</w:t>
            </w:r>
          </w:p>
        </w:tc>
        <w:tc>
          <w:tcPr>
            <w:tcW w:w="2977" w:type="dxa"/>
          </w:tcPr>
          <w:p w14:paraId="2830A8E9" w14:textId="75B32C26" w:rsidR="009F315D" w:rsidRPr="00F043AA" w:rsidRDefault="00EC3148" w:rsidP="00F02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>
              <w:rPr>
                <w:rFonts w:cs="Calibri"/>
                <w:szCs w:val="22"/>
                <w:lang w:val="fo-FO"/>
              </w:rPr>
              <w:t>19. des</w:t>
            </w:r>
            <w:r w:rsidR="00F22E33" w:rsidRPr="00F043AA">
              <w:rPr>
                <w:rFonts w:cs="Calibri"/>
                <w:szCs w:val="22"/>
                <w:lang w:val="fo-FO"/>
              </w:rPr>
              <w:t>. 2022</w:t>
            </w:r>
            <w:r>
              <w:rPr>
                <w:rFonts w:cs="Calibri"/>
                <w:szCs w:val="22"/>
                <w:lang w:val="fo-FO"/>
              </w:rPr>
              <w:t xml:space="preserve"> ella 1. jan 2023</w:t>
            </w:r>
          </w:p>
        </w:tc>
      </w:tr>
    </w:tbl>
    <w:p w14:paraId="789770CD" w14:textId="22804681" w:rsidR="009F315D" w:rsidRPr="00F043AA" w:rsidRDefault="009F315D" w:rsidP="00F02B1B">
      <w:pPr>
        <w:jc w:val="both"/>
        <w:rPr>
          <w:rFonts w:cs="Calibri"/>
          <w:lang w:val="fo-FO"/>
        </w:rPr>
      </w:pPr>
    </w:p>
    <w:p w14:paraId="4EF7E598" w14:textId="25003E2B" w:rsidR="005267CD" w:rsidRPr="00F043AA" w:rsidRDefault="00E50203" w:rsidP="005D0023">
      <w:pPr>
        <w:pStyle w:val="Heading1"/>
      </w:pPr>
      <w:bookmarkStart w:id="4" w:name="_Toc117497589"/>
      <w:r w:rsidRPr="00F043AA">
        <w:t>Framferðarháttir</w:t>
      </w:r>
      <w:r w:rsidR="005267CD" w:rsidRPr="00F043AA">
        <w:t>, mannagongd og krøv</w:t>
      </w:r>
      <w:bookmarkEnd w:id="4"/>
    </w:p>
    <w:p w14:paraId="19AB58C4" w14:textId="17E2A345" w:rsidR="00B55BAB" w:rsidRPr="00F043AA" w:rsidRDefault="00B55BA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Tilboð, fylgiskjøl og møguligir spurningar skulu stílast sum teldupostur til </w:t>
      </w:r>
      <w:hyperlink r:id="rId14" w:history="1">
        <w:r w:rsidRPr="00F043AA">
          <w:rPr>
            <w:rStyle w:val="Hyperlink"/>
            <w:rFonts w:cs="Calibri"/>
            <w:szCs w:val="18"/>
            <w:lang w:val="fo-FO"/>
          </w:rPr>
          <w:t>annfinn.thomsen@ls.fo</w:t>
        </w:r>
      </w:hyperlink>
      <w:r w:rsidRPr="00F043AA">
        <w:rPr>
          <w:rFonts w:cs="Calibri"/>
          <w:szCs w:val="18"/>
          <w:lang w:val="fo-FO"/>
        </w:rPr>
        <w:t xml:space="preserve">. </w:t>
      </w:r>
      <w:r w:rsidR="00F00D43" w:rsidRPr="00F043AA">
        <w:rPr>
          <w:rFonts w:cs="Calibri"/>
          <w:szCs w:val="18"/>
          <w:lang w:val="fo-FO"/>
        </w:rPr>
        <w:t>Spurningar verða svarðaðir og lagdir dullnevnt út á keypsportalin hjá Gjaldstovuni.</w:t>
      </w:r>
      <w:r w:rsidR="00F22E33" w:rsidRPr="00F043AA">
        <w:rPr>
          <w:rFonts w:cs="Calibri"/>
          <w:szCs w:val="18"/>
          <w:lang w:val="fo-FO"/>
        </w:rPr>
        <w:t xml:space="preserve"> </w:t>
      </w:r>
    </w:p>
    <w:p w14:paraId="3693ABF0" w14:textId="3EB136AB" w:rsidR="009F315D" w:rsidRPr="00F043AA" w:rsidRDefault="009F315D" w:rsidP="00F02B1B">
      <w:pPr>
        <w:jc w:val="both"/>
        <w:rPr>
          <w:rFonts w:cs="Calibri"/>
          <w:b/>
          <w:szCs w:val="18"/>
          <w:lang w:val="fo-FO"/>
        </w:rPr>
      </w:pPr>
    </w:p>
    <w:p w14:paraId="711379CB" w14:textId="77777777" w:rsidR="00FE5F0B" w:rsidRPr="00F043AA" w:rsidRDefault="00FE5F0B" w:rsidP="005D0023">
      <w:pPr>
        <w:pStyle w:val="Heading2"/>
      </w:pPr>
      <w:bookmarkStart w:id="5" w:name="_Toc117497590"/>
      <w:r w:rsidRPr="00F043AA">
        <w:lastRenderedPageBreak/>
        <w:t>KT útgerð</w:t>
      </w:r>
      <w:bookmarkEnd w:id="5"/>
    </w:p>
    <w:p w14:paraId="13345543" w14:textId="738336EA" w:rsidR="00FE5F0B" w:rsidRPr="00F043AA" w:rsidRDefault="00FE5F0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Í </w:t>
      </w:r>
      <w:r w:rsidRPr="00F043AA">
        <w:rPr>
          <w:rFonts w:cs="Calibri"/>
          <w:i/>
          <w:iCs/>
          <w:szCs w:val="18"/>
          <w:lang w:val="fo-FO"/>
        </w:rPr>
        <w:t xml:space="preserve">fylgiskjali </w:t>
      </w:r>
      <w:r w:rsidR="00F73026" w:rsidRPr="00F043AA">
        <w:rPr>
          <w:rFonts w:cs="Calibri"/>
          <w:i/>
          <w:iCs/>
          <w:szCs w:val="18"/>
          <w:lang w:val="fo-FO"/>
        </w:rPr>
        <w:t>B</w:t>
      </w:r>
      <w:r w:rsidRPr="00F043AA">
        <w:rPr>
          <w:rFonts w:cs="Calibri"/>
          <w:szCs w:val="18"/>
          <w:lang w:val="fo-FO"/>
        </w:rPr>
        <w:t xml:space="preserve"> eru krøv til KT útgerð, sum Sjúkrahúsverkið setur. Legg tó merki til, at </w:t>
      </w:r>
      <w:r w:rsidR="00F00D43" w:rsidRPr="00F043AA">
        <w:rPr>
          <w:rFonts w:cs="Calibri"/>
          <w:szCs w:val="18"/>
          <w:lang w:val="fo-FO"/>
        </w:rPr>
        <w:t xml:space="preserve">viðv. teldum er </w:t>
      </w:r>
      <w:r w:rsidRPr="00F043AA">
        <w:rPr>
          <w:rFonts w:cs="Calibri"/>
          <w:szCs w:val="18"/>
          <w:lang w:val="fo-FO"/>
        </w:rPr>
        <w:t>kravið HP. Ynskiligt er at dockingstøðir og skermar eisini eru HP, tó er hetta ikki eitt krav.</w:t>
      </w:r>
      <w:r w:rsidR="00FB2B5F" w:rsidRPr="00F043AA">
        <w:rPr>
          <w:rFonts w:cs="Calibri"/>
          <w:szCs w:val="18"/>
          <w:lang w:val="fo-FO"/>
        </w:rPr>
        <w:t xml:space="preserve"> Dockingstøðir skulu tó </w:t>
      </w:r>
      <w:r w:rsidR="007348D9" w:rsidRPr="00F043AA">
        <w:rPr>
          <w:rFonts w:cs="Calibri"/>
          <w:szCs w:val="18"/>
          <w:lang w:val="fo-FO"/>
        </w:rPr>
        <w:t>verða 100% komplatiblar við HP teldurnar.</w:t>
      </w:r>
      <w:r w:rsidR="00F00D43" w:rsidRPr="00F043AA">
        <w:rPr>
          <w:rFonts w:cs="Calibri"/>
          <w:szCs w:val="18"/>
          <w:lang w:val="fo-FO"/>
        </w:rPr>
        <w:t xml:space="preserve"> Tað ber eisini til at bjóða skermar við innbygdari dockingstøð.</w:t>
      </w:r>
    </w:p>
    <w:p w14:paraId="59B7B033" w14:textId="77777777" w:rsidR="00FE5F0B" w:rsidRPr="00F043AA" w:rsidRDefault="00FE5F0B" w:rsidP="00F02B1B">
      <w:pPr>
        <w:jc w:val="both"/>
        <w:rPr>
          <w:rFonts w:cs="Calibri"/>
          <w:szCs w:val="18"/>
          <w:lang w:val="fo-FO"/>
        </w:rPr>
      </w:pPr>
    </w:p>
    <w:p w14:paraId="76EF6B97" w14:textId="333DDBCA" w:rsidR="00FE5F0B" w:rsidRPr="00F043AA" w:rsidRDefault="00FE5F0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Veitarin verður biðin um at fylla teigar út, sum standa tómir. Er tørvur á fleiri teigum, er veitarin vælkomin at leggja </w:t>
      </w:r>
      <w:r w:rsidR="00E50203" w:rsidRPr="00F043AA">
        <w:rPr>
          <w:rFonts w:cs="Calibri"/>
          <w:szCs w:val="18"/>
          <w:lang w:val="fo-FO"/>
        </w:rPr>
        <w:t>afturat</w:t>
      </w:r>
      <w:r w:rsidRPr="00F043AA">
        <w:rPr>
          <w:rFonts w:cs="Calibri"/>
          <w:szCs w:val="18"/>
          <w:lang w:val="fo-FO"/>
        </w:rPr>
        <w:t xml:space="preserve"> saman við eini viðmerking.</w:t>
      </w:r>
      <w:r w:rsidR="007348D9" w:rsidRPr="00F043AA">
        <w:rPr>
          <w:rFonts w:cs="Calibri"/>
          <w:szCs w:val="18"/>
          <w:lang w:val="fo-FO"/>
        </w:rPr>
        <w:t xml:space="preserve"> Veitarin skal týðiliga frámerkja teigar, so tað sæst at teir eru lagdir aftrat.</w:t>
      </w:r>
    </w:p>
    <w:p w14:paraId="1D0F5A9A" w14:textId="77777777" w:rsidR="00FE5F0B" w:rsidRPr="00F043AA" w:rsidRDefault="00FE5F0B" w:rsidP="00F02B1B">
      <w:pPr>
        <w:jc w:val="both"/>
        <w:rPr>
          <w:rFonts w:cs="Calibri"/>
          <w:lang w:val="fo-FO"/>
        </w:rPr>
      </w:pPr>
    </w:p>
    <w:p w14:paraId="1F4B703F" w14:textId="2EA31E9E" w:rsidR="005267CD" w:rsidRPr="00F043AA" w:rsidRDefault="005267CD" w:rsidP="005D0023">
      <w:pPr>
        <w:pStyle w:val="Heading2"/>
      </w:pPr>
      <w:bookmarkStart w:id="6" w:name="_Toc117497591"/>
      <w:r w:rsidRPr="00F043AA">
        <w:t xml:space="preserve">HP </w:t>
      </w:r>
      <w:r w:rsidR="00E632F1" w:rsidRPr="00F043AA">
        <w:t>teldur</w:t>
      </w:r>
      <w:r w:rsidR="000D663D" w:rsidRPr="00F043AA">
        <w:t xml:space="preserve"> og prentarar</w:t>
      </w:r>
      <w:bookmarkEnd w:id="6"/>
    </w:p>
    <w:p w14:paraId="17A888F4" w14:textId="3C580BF7" w:rsidR="005267CD" w:rsidRPr="00F043AA" w:rsidRDefault="00750950" w:rsidP="00F02B1B">
      <w:pPr>
        <w:jc w:val="both"/>
        <w:rPr>
          <w:rFonts w:cs="Calibri"/>
          <w:lang w:val="fo-FO"/>
        </w:rPr>
      </w:pPr>
      <w:r w:rsidRPr="00F043AA">
        <w:rPr>
          <w:rFonts w:cs="Calibri"/>
          <w:lang w:val="fo-FO"/>
        </w:rPr>
        <w:t xml:space="preserve">Avgerðin at nýta HP teldur </w:t>
      </w:r>
      <w:r w:rsidR="000D663D" w:rsidRPr="00F043AA">
        <w:rPr>
          <w:rFonts w:cs="Calibri"/>
          <w:lang w:val="fo-FO"/>
        </w:rPr>
        <w:t xml:space="preserve">og prentarar </w:t>
      </w:r>
      <w:r w:rsidRPr="00F043AA">
        <w:rPr>
          <w:rFonts w:cs="Calibri"/>
          <w:lang w:val="fo-FO"/>
        </w:rPr>
        <w:t xml:space="preserve">hevur fleiri ár á baki. </w:t>
      </w:r>
      <w:r w:rsidR="005267CD" w:rsidRPr="00F043AA">
        <w:rPr>
          <w:rFonts w:cs="Calibri"/>
          <w:lang w:val="fo-FO"/>
        </w:rPr>
        <w:t>Landssjúkrahúsi</w:t>
      </w:r>
      <w:r w:rsidR="00B77E0E" w:rsidRPr="00F043AA">
        <w:rPr>
          <w:rFonts w:cs="Calibri"/>
          <w:lang w:val="fo-FO"/>
        </w:rPr>
        <w:t>ð</w:t>
      </w:r>
      <w:r w:rsidR="005267CD" w:rsidRPr="00F043AA">
        <w:rPr>
          <w:rFonts w:cs="Calibri"/>
          <w:lang w:val="fo-FO"/>
        </w:rPr>
        <w:t xml:space="preserve"> </w:t>
      </w:r>
      <w:r w:rsidRPr="00F043AA">
        <w:rPr>
          <w:rFonts w:cs="Calibri"/>
          <w:lang w:val="fo-FO"/>
        </w:rPr>
        <w:t xml:space="preserve">tók hesa </w:t>
      </w:r>
      <w:r w:rsidR="005267CD" w:rsidRPr="00F043AA">
        <w:rPr>
          <w:rFonts w:cs="Calibri"/>
          <w:lang w:val="fo-FO"/>
        </w:rPr>
        <w:t xml:space="preserve">avgerð um at leggja seg eftir </w:t>
      </w:r>
      <w:r w:rsidR="00B77E0E" w:rsidRPr="00F043AA">
        <w:rPr>
          <w:rFonts w:cs="Calibri"/>
          <w:lang w:val="fo-FO"/>
        </w:rPr>
        <w:t xml:space="preserve">einum </w:t>
      </w:r>
      <w:r w:rsidR="005267CD" w:rsidRPr="00F043AA">
        <w:rPr>
          <w:rFonts w:cs="Calibri"/>
          <w:lang w:val="fo-FO"/>
        </w:rPr>
        <w:t>merki</w:t>
      </w:r>
      <w:r w:rsidRPr="00F043AA">
        <w:rPr>
          <w:rFonts w:cs="Calibri"/>
          <w:lang w:val="fo-FO"/>
        </w:rPr>
        <w:t xml:space="preserve">, eftir at stovnurin hevði verið í almenninum telduútboði </w:t>
      </w:r>
      <w:r w:rsidR="005267CD" w:rsidRPr="00F043AA">
        <w:rPr>
          <w:rFonts w:cs="Calibri"/>
          <w:lang w:val="fo-FO"/>
        </w:rPr>
        <w:t>í 2016</w:t>
      </w:r>
      <w:r w:rsidRPr="00F043AA">
        <w:rPr>
          <w:rFonts w:cs="Calibri"/>
          <w:lang w:val="fo-FO"/>
        </w:rPr>
        <w:t xml:space="preserve">. Útboðið vendir sær til KT fyritøkur í Føroyum, sum hvør í sínum lagi umboða flest øll nevndverd KT merkir. Vinnarin </w:t>
      </w:r>
      <w:r w:rsidR="0059757E" w:rsidRPr="00F043AA">
        <w:rPr>
          <w:rFonts w:cs="Calibri"/>
          <w:lang w:val="fo-FO"/>
        </w:rPr>
        <w:t>í 2016</w:t>
      </w:r>
      <w:r w:rsidRPr="00F043AA">
        <w:rPr>
          <w:rFonts w:cs="Calibri"/>
          <w:lang w:val="fo-FO"/>
        </w:rPr>
        <w:t xml:space="preserve"> </w:t>
      </w:r>
      <w:r w:rsidR="0059757E" w:rsidRPr="00F043AA">
        <w:rPr>
          <w:rFonts w:cs="Calibri"/>
          <w:lang w:val="fo-FO"/>
        </w:rPr>
        <w:t>gjørdist</w:t>
      </w:r>
      <w:r w:rsidRPr="00F043AA">
        <w:rPr>
          <w:rFonts w:cs="Calibri"/>
          <w:lang w:val="fo-FO"/>
        </w:rPr>
        <w:t xml:space="preserve"> KT húsið</w:t>
      </w:r>
      <w:r w:rsidR="00E50203" w:rsidRPr="00F043AA">
        <w:rPr>
          <w:rFonts w:cs="Calibri"/>
          <w:lang w:val="fo-FO"/>
        </w:rPr>
        <w:t>,</w:t>
      </w:r>
      <w:r w:rsidRPr="00F043AA">
        <w:rPr>
          <w:rFonts w:cs="Calibri"/>
          <w:lang w:val="fo-FO"/>
        </w:rPr>
        <w:t xml:space="preserve"> og í 2019 vann Formula. </w:t>
      </w:r>
      <w:r w:rsidR="00DB1F78" w:rsidRPr="00F043AA">
        <w:rPr>
          <w:rFonts w:cs="Calibri"/>
          <w:lang w:val="fo-FO"/>
        </w:rPr>
        <w:t xml:space="preserve">Harumframt hava bæði Suðuroyar sjúkrahús og Klaksvíkar sjúkrahús keypt HP teldur </w:t>
      </w:r>
      <w:r w:rsidR="000D663D" w:rsidRPr="00F043AA">
        <w:rPr>
          <w:rFonts w:cs="Calibri"/>
          <w:lang w:val="fo-FO"/>
        </w:rPr>
        <w:t xml:space="preserve">og prentarar </w:t>
      </w:r>
      <w:r w:rsidR="00DB1F78" w:rsidRPr="00F043AA">
        <w:rPr>
          <w:rFonts w:cs="Calibri"/>
          <w:lang w:val="fo-FO"/>
        </w:rPr>
        <w:t xml:space="preserve">í longri tíð. Ein av høvuðsgrundgevingunum </w:t>
      </w:r>
      <w:r w:rsidR="00E50203" w:rsidRPr="00F043AA">
        <w:rPr>
          <w:rFonts w:cs="Calibri"/>
          <w:lang w:val="fo-FO"/>
        </w:rPr>
        <w:t xml:space="preserve">fyri </w:t>
      </w:r>
      <w:r w:rsidR="00DB1F78" w:rsidRPr="00F043AA">
        <w:rPr>
          <w:rFonts w:cs="Calibri"/>
          <w:lang w:val="fo-FO"/>
        </w:rPr>
        <w:t>at nýta eitt merki, er tørvurin at automatisera og effektivisera teldu</w:t>
      </w:r>
      <w:r w:rsidR="000D663D" w:rsidRPr="00F043AA">
        <w:rPr>
          <w:rFonts w:cs="Calibri"/>
          <w:lang w:val="fo-FO"/>
        </w:rPr>
        <w:t>- og prentara</w:t>
      </w:r>
      <w:r w:rsidR="00DB1F78" w:rsidRPr="00F043AA">
        <w:rPr>
          <w:rFonts w:cs="Calibri"/>
          <w:lang w:val="fo-FO"/>
        </w:rPr>
        <w:t xml:space="preserve">parkina </w:t>
      </w:r>
      <w:r w:rsidR="007348D9" w:rsidRPr="00F043AA">
        <w:rPr>
          <w:rFonts w:cs="Calibri"/>
          <w:lang w:val="fo-FO"/>
        </w:rPr>
        <w:t>í</w:t>
      </w:r>
      <w:r w:rsidR="00E50203" w:rsidRPr="00F043AA">
        <w:rPr>
          <w:rFonts w:cs="Calibri"/>
          <w:lang w:val="fo-FO"/>
        </w:rPr>
        <w:t xml:space="preserve"> </w:t>
      </w:r>
      <w:r w:rsidR="00DB1F78" w:rsidRPr="00F043AA">
        <w:rPr>
          <w:rFonts w:cs="Calibri"/>
          <w:lang w:val="fo-FO"/>
        </w:rPr>
        <w:t xml:space="preserve">Sjúkrahúsverkinum. Við at </w:t>
      </w:r>
      <w:r w:rsidR="00E50203" w:rsidRPr="00F043AA">
        <w:rPr>
          <w:rFonts w:cs="Calibri"/>
          <w:lang w:val="fo-FO"/>
        </w:rPr>
        <w:t xml:space="preserve">samanbera </w:t>
      </w:r>
      <w:r w:rsidR="00DB1F78" w:rsidRPr="00F043AA">
        <w:rPr>
          <w:rFonts w:cs="Calibri"/>
          <w:lang w:val="fo-FO"/>
        </w:rPr>
        <w:t>prísir á merkjum bæði í Føroyum og Danmark (umvegis SKI), metir SHV, at allir veitarar í Føroyum hava møguleika fyri at bjóða HP til kappingarføran prís.</w:t>
      </w:r>
      <w:r w:rsidR="007348D9" w:rsidRPr="00F043AA">
        <w:rPr>
          <w:rFonts w:cs="Calibri"/>
          <w:lang w:val="fo-FO"/>
        </w:rPr>
        <w:t xml:space="preserve"> </w:t>
      </w:r>
    </w:p>
    <w:p w14:paraId="776F0060" w14:textId="77777777" w:rsidR="00EC3148" w:rsidRDefault="00EC3148" w:rsidP="00E468A5">
      <w:pPr>
        <w:pStyle w:val="Heading2"/>
      </w:pPr>
    </w:p>
    <w:p w14:paraId="1EA8FB07" w14:textId="185F990A" w:rsidR="00E468A5" w:rsidRPr="00F043AA" w:rsidRDefault="00287FD8" w:rsidP="00E468A5">
      <w:pPr>
        <w:pStyle w:val="Heading2"/>
      </w:pPr>
      <w:bookmarkStart w:id="7" w:name="_Toc117497592"/>
      <w:r w:rsidRPr="00F043AA">
        <w:t>Fartelefonir</w:t>
      </w:r>
      <w:bookmarkEnd w:id="7"/>
    </w:p>
    <w:p w14:paraId="7872A360" w14:textId="1D457560" w:rsidR="00E468A5" w:rsidRDefault="00E468A5" w:rsidP="00E468A5">
      <w:pPr>
        <w:rPr>
          <w:lang w:val="fo-FO"/>
        </w:rPr>
      </w:pPr>
      <w:r w:rsidRPr="00F043AA">
        <w:rPr>
          <w:lang w:val="fo-FO"/>
        </w:rPr>
        <w:t xml:space="preserve">Av somu orsøk sum valið av HP teldum, hevur SHV lagt seg eftir at nýta ávís fartelefon merkir. </w:t>
      </w:r>
      <w:r w:rsidR="000D663D" w:rsidRPr="00F043AA">
        <w:rPr>
          <w:lang w:val="fo-FO"/>
        </w:rPr>
        <w:t xml:space="preserve">Krøv til fartelefonir </w:t>
      </w:r>
      <w:r w:rsidRPr="00F043AA">
        <w:rPr>
          <w:lang w:val="fo-FO"/>
        </w:rPr>
        <w:t xml:space="preserve">verða nærri lýst í </w:t>
      </w:r>
      <w:r w:rsidRPr="00F043AA">
        <w:rPr>
          <w:i/>
          <w:iCs/>
          <w:lang w:val="fo-FO"/>
        </w:rPr>
        <w:t xml:space="preserve">fylgiskjali </w:t>
      </w:r>
      <w:r w:rsidR="00F73026" w:rsidRPr="00F043AA">
        <w:rPr>
          <w:i/>
          <w:iCs/>
          <w:lang w:val="fo-FO"/>
        </w:rPr>
        <w:t>B</w:t>
      </w:r>
      <w:r w:rsidRPr="00F043AA">
        <w:rPr>
          <w:lang w:val="fo-FO"/>
        </w:rPr>
        <w:t>.</w:t>
      </w:r>
    </w:p>
    <w:p w14:paraId="0CB4A61D" w14:textId="09556FE5" w:rsidR="00D23972" w:rsidRDefault="00D23972" w:rsidP="00E468A5">
      <w:pPr>
        <w:rPr>
          <w:lang w:val="fo-FO"/>
        </w:rPr>
      </w:pPr>
    </w:p>
    <w:p w14:paraId="2DB25100" w14:textId="0DAE9F6E" w:rsidR="00D23972" w:rsidRDefault="00D23972" w:rsidP="00D23972">
      <w:pPr>
        <w:pStyle w:val="Heading2"/>
      </w:pPr>
      <w:bookmarkStart w:id="8" w:name="_Toc117497593"/>
      <w:r>
        <w:t>Prentarar</w:t>
      </w:r>
      <w:bookmarkEnd w:id="8"/>
    </w:p>
    <w:p w14:paraId="7F26FAD4" w14:textId="1585BAC1" w:rsidR="00D23972" w:rsidRDefault="00D23972" w:rsidP="00E468A5">
      <w:pPr>
        <w:rPr>
          <w:lang w:val="fo-FO"/>
        </w:rPr>
      </w:pPr>
      <w:r>
        <w:rPr>
          <w:lang w:val="fo-FO"/>
        </w:rPr>
        <w:t xml:space="preserve">SHV hevur miðsavnað alt prent við eini skipan, ið eitur PaperCut. PaperCut er ein </w:t>
      </w:r>
      <w:r w:rsidR="0045451E">
        <w:rPr>
          <w:lang w:val="fo-FO"/>
        </w:rPr>
        <w:t xml:space="preserve">prentumsitingarskipan, sum millum annað miðsavnar alt prent til </w:t>
      </w:r>
      <w:r>
        <w:rPr>
          <w:lang w:val="fo-FO"/>
        </w:rPr>
        <w:t>eina virtuella prentkø</w:t>
      </w:r>
      <w:r w:rsidR="0045451E">
        <w:rPr>
          <w:lang w:val="fo-FO"/>
        </w:rPr>
        <w:t xml:space="preserve">. Hetta ger tað møguligt hjá </w:t>
      </w:r>
      <w:r>
        <w:rPr>
          <w:lang w:val="fo-FO"/>
        </w:rPr>
        <w:t>starvsfólk</w:t>
      </w:r>
      <w:r w:rsidR="0045451E">
        <w:rPr>
          <w:lang w:val="fo-FO"/>
        </w:rPr>
        <w:t xml:space="preserve">um </w:t>
      </w:r>
      <w:r>
        <w:rPr>
          <w:lang w:val="fo-FO"/>
        </w:rPr>
        <w:t>at leggja samleikakort á prentaran</w:t>
      </w:r>
      <w:r w:rsidR="0045451E">
        <w:rPr>
          <w:lang w:val="fo-FO"/>
        </w:rPr>
        <w:t>,</w:t>
      </w:r>
      <w:r>
        <w:rPr>
          <w:lang w:val="fo-FO"/>
        </w:rPr>
        <w:t xml:space="preserve"> </w:t>
      </w:r>
      <w:r w:rsidR="0045451E">
        <w:rPr>
          <w:lang w:val="fo-FO"/>
        </w:rPr>
        <w:t xml:space="preserve">og síðani </w:t>
      </w:r>
      <w:r>
        <w:rPr>
          <w:lang w:val="fo-FO"/>
        </w:rPr>
        <w:t xml:space="preserve">sjálvi velja nær og hvar prentið verður prentað. </w:t>
      </w:r>
      <w:r w:rsidR="00814279">
        <w:rPr>
          <w:lang w:val="fo-FO"/>
        </w:rPr>
        <w:t>Skipanin</w:t>
      </w:r>
      <w:r>
        <w:rPr>
          <w:lang w:val="fo-FO"/>
        </w:rPr>
        <w:t xml:space="preserve"> setir sjálvsagt krøv til hvat slag av prentarum verður nýtt</w:t>
      </w:r>
      <w:r w:rsidR="0045451E">
        <w:rPr>
          <w:lang w:val="fo-FO"/>
        </w:rPr>
        <w:t xml:space="preserve">. Veitarar mugu finna fram til hvat fyri prentarar rigga saman við PaperCut, tó nýtir SHV HP Enterprise MFP prentarar í dag, </w:t>
      </w:r>
      <w:r w:rsidR="00360B41">
        <w:rPr>
          <w:lang w:val="fo-FO"/>
        </w:rPr>
        <w:t>spesifikt</w:t>
      </w:r>
      <w:r w:rsidR="0045451E">
        <w:rPr>
          <w:lang w:val="fo-FO"/>
        </w:rPr>
        <w:t xml:space="preserve"> </w:t>
      </w:r>
      <w:r w:rsidR="0045451E" w:rsidRPr="0045451E">
        <w:rPr>
          <w:b/>
          <w:bCs/>
          <w:lang w:val="fo-FO"/>
        </w:rPr>
        <w:t>HP Color LaserJet Enterprise MFP</w:t>
      </w:r>
      <w:r w:rsidR="0045451E">
        <w:rPr>
          <w:b/>
          <w:bCs/>
          <w:lang w:val="fo-FO"/>
        </w:rPr>
        <w:t xml:space="preserve"> m577</w:t>
      </w:r>
      <w:r w:rsidR="0045451E" w:rsidRPr="0045451E">
        <w:rPr>
          <w:lang w:val="fo-FO"/>
        </w:rPr>
        <w:t>.</w:t>
      </w:r>
    </w:p>
    <w:p w14:paraId="66BC47CA" w14:textId="77777777" w:rsidR="00D23972" w:rsidRDefault="00D23972" w:rsidP="00E468A5">
      <w:pPr>
        <w:rPr>
          <w:lang w:val="fo-FO"/>
        </w:rPr>
      </w:pPr>
    </w:p>
    <w:p w14:paraId="506844AC" w14:textId="504921A4" w:rsidR="00D23972" w:rsidRDefault="00D23972" w:rsidP="00E468A5">
      <w:pPr>
        <w:rPr>
          <w:lang w:val="fo-FO"/>
        </w:rPr>
      </w:pPr>
      <w:r w:rsidRPr="00D23972">
        <w:rPr>
          <w:lang w:val="fo-FO"/>
        </w:rPr>
        <w:t xml:space="preserve">Harumframt nýtir SHV eisini Armbands prentarar av slagnum </w:t>
      </w:r>
      <w:r w:rsidRPr="00D23972">
        <w:rPr>
          <w:b/>
          <w:bCs/>
          <w:lang w:val="fo-FO"/>
        </w:rPr>
        <w:t>Zebra ZD510-HC</w:t>
      </w:r>
      <w:r w:rsidRPr="00D23972">
        <w:rPr>
          <w:lang w:val="fo-FO"/>
        </w:rPr>
        <w:t xml:space="preserve"> til sjúkralinga identificatión, og label prentarar av slagnum </w:t>
      </w:r>
      <w:r w:rsidRPr="00D23972">
        <w:rPr>
          <w:b/>
          <w:bCs/>
          <w:lang w:val="fo-FO"/>
        </w:rPr>
        <w:t>Zebra ZD410</w:t>
      </w:r>
      <w:r w:rsidRPr="00D23972">
        <w:rPr>
          <w:lang w:val="fo-FO"/>
        </w:rPr>
        <w:t xml:space="preserve"> til heilivágmerking.</w:t>
      </w:r>
    </w:p>
    <w:p w14:paraId="4635A253" w14:textId="77777777" w:rsidR="00D23972" w:rsidRDefault="00D23972" w:rsidP="00E468A5">
      <w:pPr>
        <w:rPr>
          <w:lang w:val="fo-FO"/>
        </w:rPr>
      </w:pPr>
    </w:p>
    <w:p w14:paraId="0B886A9D" w14:textId="0D70BCCA" w:rsidR="00D23972" w:rsidRPr="00F043AA" w:rsidRDefault="00D23972" w:rsidP="00E468A5">
      <w:pPr>
        <w:rPr>
          <w:lang w:val="fo-FO"/>
        </w:rPr>
      </w:pPr>
      <w:r>
        <w:rPr>
          <w:lang w:val="fo-FO"/>
        </w:rPr>
        <w:t>Tað er eitt krav av allir prentdrivers</w:t>
      </w:r>
      <w:r w:rsidR="00814279">
        <w:rPr>
          <w:lang w:val="fo-FO"/>
        </w:rPr>
        <w:t xml:space="preserve"> eru komplatiblir við </w:t>
      </w:r>
      <w:r>
        <w:rPr>
          <w:lang w:val="fo-FO"/>
        </w:rPr>
        <w:t>Windows Server 2019 og nýggjari, Windows 10 og nýggjari, umframt IGEL OS.</w:t>
      </w:r>
    </w:p>
    <w:p w14:paraId="6B1A9D58" w14:textId="1C83693B" w:rsidR="00E468A5" w:rsidRPr="00F043AA" w:rsidRDefault="00E468A5" w:rsidP="00F02B1B">
      <w:pPr>
        <w:jc w:val="both"/>
        <w:rPr>
          <w:rFonts w:cs="Calibri"/>
          <w:lang w:val="fo-FO"/>
        </w:rPr>
      </w:pPr>
    </w:p>
    <w:p w14:paraId="405A7BE2" w14:textId="4D562D08" w:rsidR="003D0899" w:rsidRPr="00F043AA" w:rsidRDefault="003D0899" w:rsidP="003D0899">
      <w:pPr>
        <w:pStyle w:val="Heading2"/>
      </w:pPr>
      <w:bookmarkStart w:id="9" w:name="_Toc117497594"/>
      <w:r w:rsidRPr="00F043AA">
        <w:t>Vørubólkar</w:t>
      </w:r>
      <w:bookmarkEnd w:id="9"/>
    </w:p>
    <w:p w14:paraId="7E0A6BF6" w14:textId="2365A7C4" w:rsidR="003D0899" w:rsidRPr="00F043AA" w:rsidRDefault="003D0899" w:rsidP="003D0899">
      <w:pPr>
        <w:rPr>
          <w:rFonts w:cs="Calibri"/>
          <w:lang w:val="fo-FO"/>
        </w:rPr>
      </w:pPr>
      <w:r w:rsidRPr="00F043AA">
        <w:rPr>
          <w:rFonts w:cs="Calibri"/>
          <w:lang w:val="fo-FO"/>
        </w:rPr>
        <w:t xml:space="preserve">Í </w:t>
      </w:r>
      <w:r w:rsidRPr="00F043AA">
        <w:rPr>
          <w:rFonts w:cs="Calibri"/>
          <w:i/>
          <w:iCs/>
          <w:lang w:val="fo-FO"/>
        </w:rPr>
        <w:t xml:space="preserve">fylgiskjali </w:t>
      </w:r>
      <w:r w:rsidR="00F73026" w:rsidRPr="00F043AA">
        <w:rPr>
          <w:rFonts w:cs="Calibri"/>
          <w:i/>
          <w:iCs/>
          <w:lang w:val="fo-FO"/>
        </w:rPr>
        <w:t>B</w:t>
      </w:r>
      <w:r w:rsidRPr="00F043AA">
        <w:rPr>
          <w:rFonts w:cs="Calibri"/>
          <w:lang w:val="fo-FO"/>
        </w:rPr>
        <w:t xml:space="preserve"> eru fylgjandi yvirskipaðir vørubólkar.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2830"/>
        <w:gridCol w:w="4962"/>
      </w:tblGrid>
      <w:tr w:rsidR="002875A5" w:rsidRPr="00F043AA" w14:paraId="7A25F516" w14:textId="77777777" w:rsidTr="0028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07057A" w14:textId="5768CC5D" w:rsidR="002875A5" w:rsidRPr="00F043AA" w:rsidRDefault="002875A5" w:rsidP="004C535C">
            <w:pPr>
              <w:jc w:val="both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Vørubólkur</w:t>
            </w:r>
          </w:p>
        </w:tc>
        <w:tc>
          <w:tcPr>
            <w:tcW w:w="4962" w:type="dxa"/>
          </w:tcPr>
          <w:p w14:paraId="376A0A9D" w14:textId="4746C9D2" w:rsidR="002875A5" w:rsidRPr="00F043AA" w:rsidRDefault="002875A5" w:rsidP="004C53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Frágreiðing</w:t>
            </w:r>
          </w:p>
        </w:tc>
      </w:tr>
      <w:tr w:rsidR="002875A5" w:rsidRPr="00F043AA" w14:paraId="6AF66468" w14:textId="77777777" w:rsidTr="0028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3834D8" w14:textId="75405A14" w:rsidR="002875A5" w:rsidRPr="00F043AA" w:rsidRDefault="002875A5" w:rsidP="004C535C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Teldur</w:t>
            </w:r>
          </w:p>
        </w:tc>
        <w:tc>
          <w:tcPr>
            <w:tcW w:w="4962" w:type="dxa"/>
          </w:tcPr>
          <w:p w14:paraId="10501305" w14:textId="3D76DEF2" w:rsidR="002875A5" w:rsidRPr="00F043AA" w:rsidRDefault="002875A5" w:rsidP="004C53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Hesin bólkur fevnir um teldur, bæði farteldur og stationerteldur av merkinum HP.</w:t>
            </w:r>
          </w:p>
        </w:tc>
      </w:tr>
      <w:tr w:rsidR="002875A5" w:rsidRPr="00A02EFB" w14:paraId="1099C250" w14:textId="77777777" w:rsidTr="002875A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76CF76" w14:textId="2BD0DB7B" w:rsidR="002875A5" w:rsidRPr="00F043AA" w:rsidRDefault="002875A5" w:rsidP="004C535C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 xml:space="preserve">KT útgerð </w:t>
            </w:r>
          </w:p>
        </w:tc>
        <w:tc>
          <w:tcPr>
            <w:tcW w:w="4962" w:type="dxa"/>
          </w:tcPr>
          <w:p w14:paraId="2E01A814" w14:textId="644B4397" w:rsidR="002875A5" w:rsidRPr="00F043AA" w:rsidRDefault="002875A5" w:rsidP="004C5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Hesin bólkur fevnir um vanliga KT útgerð so sum skermar, dockingstøðir, keyboard, mús, o.t.</w:t>
            </w:r>
          </w:p>
        </w:tc>
      </w:tr>
      <w:tr w:rsidR="002875A5" w:rsidRPr="00F043AA" w14:paraId="77B2271C" w14:textId="77777777" w:rsidTr="00287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83873C" w14:textId="7CACA561" w:rsidR="002875A5" w:rsidRPr="00F043AA" w:rsidRDefault="002875A5" w:rsidP="004C535C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Prentarar</w:t>
            </w:r>
          </w:p>
        </w:tc>
        <w:tc>
          <w:tcPr>
            <w:tcW w:w="4962" w:type="dxa"/>
          </w:tcPr>
          <w:p w14:paraId="36E7DA65" w14:textId="789B9713" w:rsidR="002875A5" w:rsidRPr="00F043AA" w:rsidRDefault="002875A5" w:rsidP="004C53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Hesin bólkur fevnir um prentarar og prentaralutir.</w:t>
            </w:r>
          </w:p>
        </w:tc>
      </w:tr>
      <w:tr w:rsidR="002875A5" w:rsidRPr="00F043AA" w14:paraId="49B29DB5" w14:textId="77777777" w:rsidTr="002875A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E2F06B" w14:textId="78D384B6" w:rsidR="002875A5" w:rsidRPr="00F043AA" w:rsidRDefault="002875A5" w:rsidP="004C535C">
            <w:pPr>
              <w:jc w:val="both"/>
              <w:rPr>
                <w:rFonts w:cs="Calibri"/>
                <w:b w:val="0"/>
                <w:bCs w:val="0"/>
                <w:szCs w:val="22"/>
                <w:lang w:val="fo-FO"/>
              </w:rPr>
            </w:pPr>
            <w:r w:rsidRPr="00F043AA">
              <w:rPr>
                <w:rFonts w:cs="Calibri"/>
                <w:b w:val="0"/>
                <w:bCs w:val="0"/>
                <w:szCs w:val="22"/>
                <w:lang w:val="fo-FO"/>
              </w:rPr>
              <w:t>Fartelefonir</w:t>
            </w:r>
          </w:p>
        </w:tc>
        <w:tc>
          <w:tcPr>
            <w:tcW w:w="4962" w:type="dxa"/>
          </w:tcPr>
          <w:p w14:paraId="142E279E" w14:textId="2A06A6E0" w:rsidR="002875A5" w:rsidRPr="00F043AA" w:rsidRDefault="002875A5" w:rsidP="004C5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2"/>
                <w:lang w:val="fo-FO"/>
              </w:rPr>
            </w:pPr>
            <w:r w:rsidRPr="00F043AA">
              <w:rPr>
                <w:rFonts w:cs="Calibri"/>
                <w:szCs w:val="22"/>
                <w:lang w:val="fo-FO"/>
              </w:rPr>
              <w:t>Hesin bólkur fevnir um fartelefonir og tilhoyr</w:t>
            </w:r>
            <w:r w:rsidR="00E468A5" w:rsidRPr="00F043AA">
              <w:rPr>
                <w:rFonts w:cs="Calibri"/>
                <w:szCs w:val="22"/>
                <w:lang w:val="fo-FO"/>
              </w:rPr>
              <w:t>.</w:t>
            </w:r>
          </w:p>
        </w:tc>
      </w:tr>
    </w:tbl>
    <w:p w14:paraId="49962BA1" w14:textId="77777777" w:rsidR="002875A5" w:rsidRPr="00F043AA" w:rsidRDefault="002875A5" w:rsidP="003D0899">
      <w:pPr>
        <w:rPr>
          <w:rFonts w:cs="Calibri"/>
          <w:lang w:val="fo-FO"/>
        </w:rPr>
      </w:pPr>
    </w:p>
    <w:p w14:paraId="0C8FD0B4" w14:textId="77777777" w:rsidR="003D0899" w:rsidRPr="00F043AA" w:rsidRDefault="003D0899" w:rsidP="003D0899">
      <w:pPr>
        <w:rPr>
          <w:lang w:val="fo-FO"/>
        </w:rPr>
      </w:pPr>
    </w:p>
    <w:p w14:paraId="026DE45B" w14:textId="4F851A9B" w:rsidR="00F93090" w:rsidRPr="00F043AA" w:rsidRDefault="00F93090" w:rsidP="005D0023">
      <w:pPr>
        <w:pStyle w:val="Heading2"/>
      </w:pPr>
      <w:bookmarkStart w:id="10" w:name="_Toc117497595"/>
      <w:r w:rsidRPr="00F043AA">
        <w:lastRenderedPageBreak/>
        <w:t>Skipan av innkeypi</w:t>
      </w:r>
      <w:bookmarkEnd w:id="10"/>
    </w:p>
    <w:p w14:paraId="0EFEC1D3" w14:textId="2DBCCE42" w:rsidR="00F93090" w:rsidRPr="00F043AA" w:rsidRDefault="00F93090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Veitarin skal koma við eini meting um</w:t>
      </w:r>
      <w:r w:rsidR="00E50203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hvussu innkeypið verður skipað, umframt at tilboð</w:t>
      </w:r>
      <w:r w:rsidR="00E50203" w:rsidRPr="00F043AA">
        <w:rPr>
          <w:rFonts w:cs="Calibri"/>
          <w:szCs w:val="18"/>
          <w:lang w:val="fo-FO"/>
        </w:rPr>
        <w:t>s</w:t>
      </w:r>
      <w:r w:rsidRPr="00F043AA">
        <w:rPr>
          <w:rFonts w:cs="Calibri"/>
          <w:szCs w:val="18"/>
          <w:lang w:val="fo-FO"/>
        </w:rPr>
        <w:t xml:space="preserve">tilfarið skal bæði </w:t>
      </w:r>
      <w:r w:rsidR="000E1BC2" w:rsidRPr="00F043AA">
        <w:rPr>
          <w:rFonts w:cs="Calibri"/>
          <w:szCs w:val="18"/>
          <w:lang w:val="fo-FO"/>
        </w:rPr>
        <w:t xml:space="preserve">hava </w:t>
      </w:r>
      <w:r w:rsidRPr="00F043AA">
        <w:rPr>
          <w:rFonts w:cs="Calibri"/>
          <w:szCs w:val="18"/>
          <w:lang w:val="fo-FO"/>
        </w:rPr>
        <w:t>tekst og myndir av KT útgerði</w:t>
      </w:r>
      <w:r w:rsidR="001776FB" w:rsidRPr="00F043AA">
        <w:rPr>
          <w:rFonts w:cs="Calibri"/>
          <w:szCs w:val="18"/>
          <w:lang w:val="fo-FO"/>
        </w:rPr>
        <w:t>ni</w:t>
      </w:r>
      <w:r w:rsidRPr="00F043AA">
        <w:rPr>
          <w:rFonts w:cs="Calibri"/>
          <w:szCs w:val="18"/>
          <w:lang w:val="fo-FO"/>
        </w:rPr>
        <w:t xml:space="preserve">, sum </w:t>
      </w:r>
      <w:r w:rsidR="003350A3" w:rsidRPr="00F043AA">
        <w:rPr>
          <w:rFonts w:cs="Calibri"/>
          <w:szCs w:val="18"/>
          <w:lang w:val="fo-FO"/>
        </w:rPr>
        <w:t>verður nevnd</w:t>
      </w:r>
      <w:r w:rsidRPr="00F043AA">
        <w:rPr>
          <w:rFonts w:cs="Calibri"/>
          <w:szCs w:val="18"/>
          <w:lang w:val="fo-FO"/>
        </w:rPr>
        <w:t xml:space="preserve"> í </w:t>
      </w:r>
      <w:r w:rsidRPr="00F043AA">
        <w:rPr>
          <w:rFonts w:cs="Calibri"/>
          <w:i/>
          <w:iCs/>
          <w:szCs w:val="18"/>
          <w:lang w:val="fo-FO"/>
        </w:rPr>
        <w:t xml:space="preserve">fylgiskjali </w:t>
      </w:r>
      <w:r w:rsidR="00F73026" w:rsidRPr="00F043AA">
        <w:rPr>
          <w:rFonts w:cs="Calibri"/>
          <w:i/>
          <w:iCs/>
          <w:szCs w:val="18"/>
          <w:lang w:val="fo-FO"/>
        </w:rPr>
        <w:t>B</w:t>
      </w:r>
      <w:r w:rsidRPr="00F043AA">
        <w:rPr>
          <w:rFonts w:cs="Calibri"/>
          <w:szCs w:val="18"/>
          <w:lang w:val="fo-FO"/>
        </w:rPr>
        <w:t xml:space="preserve">. </w:t>
      </w:r>
    </w:p>
    <w:p w14:paraId="72F1CCD1" w14:textId="77777777" w:rsidR="00F93090" w:rsidRPr="00F043AA" w:rsidRDefault="00F93090" w:rsidP="00F02B1B">
      <w:pPr>
        <w:jc w:val="both"/>
        <w:rPr>
          <w:rFonts w:cs="Calibri"/>
          <w:szCs w:val="18"/>
          <w:lang w:val="fo-FO"/>
        </w:rPr>
      </w:pPr>
    </w:p>
    <w:p w14:paraId="5E5E83E2" w14:textId="4D94BCA7" w:rsidR="00F93090" w:rsidRPr="00F043AA" w:rsidRDefault="00F93090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Veitarin skal skipa fyri einum </w:t>
      </w:r>
      <w:r w:rsidR="000E1BC2" w:rsidRPr="00F043AA">
        <w:rPr>
          <w:rFonts w:cs="Calibri"/>
          <w:szCs w:val="18"/>
          <w:lang w:val="fo-FO"/>
        </w:rPr>
        <w:t>keypsportali</w:t>
      </w:r>
      <w:r w:rsidRPr="00F043AA">
        <w:rPr>
          <w:rFonts w:cs="Calibri"/>
          <w:szCs w:val="18"/>
          <w:lang w:val="fo-FO"/>
        </w:rPr>
        <w:t>, sum er atkomulig</w:t>
      </w:r>
      <w:r w:rsidR="000E1BC2" w:rsidRPr="00F043AA">
        <w:rPr>
          <w:rFonts w:cs="Calibri"/>
          <w:szCs w:val="18"/>
          <w:lang w:val="fo-FO"/>
        </w:rPr>
        <w:t>ur</w:t>
      </w:r>
      <w:r w:rsidRPr="00F043AA">
        <w:rPr>
          <w:rFonts w:cs="Calibri"/>
          <w:szCs w:val="18"/>
          <w:lang w:val="fo-FO"/>
        </w:rPr>
        <w:t xml:space="preserve"> umvegis alnótina og sum bert inniheldur tær vørur, ið eru partur av rammusáttmálanum</w:t>
      </w:r>
      <w:r w:rsidR="000E1BC2" w:rsidRPr="00F043AA">
        <w:rPr>
          <w:rFonts w:cs="Calibri"/>
          <w:szCs w:val="18"/>
          <w:lang w:val="fo-FO"/>
        </w:rPr>
        <w:t xml:space="preserve"> millum SHV og veitaran</w:t>
      </w:r>
      <w:r w:rsidRPr="00F043AA">
        <w:rPr>
          <w:rFonts w:cs="Calibri"/>
          <w:szCs w:val="18"/>
          <w:lang w:val="fo-FO"/>
        </w:rPr>
        <w:t xml:space="preserve">. Atgongdin til </w:t>
      </w:r>
      <w:r w:rsidR="000E1BC2" w:rsidRPr="00F043AA">
        <w:rPr>
          <w:rFonts w:cs="Calibri"/>
          <w:szCs w:val="18"/>
          <w:lang w:val="fo-FO"/>
        </w:rPr>
        <w:t xml:space="preserve">keypsportalin </w:t>
      </w:r>
      <w:r w:rsidRPr="00F043AA">
        <w:rPr>
          <w:rFonts w:cs="Calibri"/>
          <w:szCs w:val="18"/>
          <w:lang w:val="fo-FO"/>
        </w:rPr>
        <w:t>skal vera persónlig</w:t>
      </w:r>
      <w:r w:rsidR="000E1BC2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og er tað bert persónar </w:t>
      </w:r>
      <w:r w:rsidR="00C75A75" w:rsidRPr="00F043AA">
        <w:rPr>
          <w:rFonts w:cs="Calibri"/>
          <w:szCs w:val="18"/>
          <w:lang w:val="fo-FO"/>
        </w:rPr>
        <w:t xml:space="preserve">í SHV </w:t>
      </w:r>
      <w:r w:rsidRPr="00F043AA">
        <w:rPr>
          <w:rFonts w:cs="Calibri"/>
          <w:szCs w:val="18"/>
          <w:lang w:val="fo-FO"/>
        </w:rPr>
        <w:t>við atgongd, sum kunnu bíleggja umvegis rammusáttmálan. Ynskiligt er</w:t>
      </w:r>
      <w:r w:rsidR="003350A3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at SHV kann upprætta </w:t>
      </w:r>
      <w:r w:rsidR="000E1BC2" w:rsidRPr="00F043AA">
        <w:rPr>
          <w:rFonts w:cs="Calibri"/>
          <w:szCs w:val="18"/>
          <w:lang w:val="fo-FO"/>
        </w:rPr>
        <w:t xml:space="preserve">starvsfólk </w:t>
      </w:r>
      <w:r w:rsidRPr="00F043AA">
        <w:rPr>
          <w:rFonts w:cs="Calibri"/>
          <w:szCs w:val="18"/>
          <w:lang w:val="fo-FO"/>
        </w:rPr>
        <w:t>og stýra hesa atgongd.</w:t>
      </w:r>
    </w:p>
    <w:p w14:paraId="0B3EEDA6" w14:textId="77777777" w:rsidR="00F93090" w:rsidRPr="00F043AA" w:rsidRDefault="00F93090" w:rsidP="00F02B1B">
      <w:pPr>
        <w:jc w:val="both"/>
        <w:rPr>
          <w:rFonts w:cs="Calibri"/>
          <w:szCs w:val="18"/>
          <w:lang w:val="fo-FO"/>
        </w:rPr>
      </w:pPr>
    </w:p>
    <w:p w14:paraId="6AF652D6" w14:textId="12AD8BF0" w:rsidR="00F93090" w:rsidRPr="00F043AA" w:rsidRDefault="00B84FC1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Tað er eitt krav, at alt keyp umvegis rammusáttmálan veður skrásett</w:t>
      </w:r>
      <w:r w:rsidR="003350A3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og at tað er lætt at gera hagtøl, </w:t>
      </w:r>
      <w:r w:rsidR="001776FB" w:rsidRPr="00F043AA">
        <w:rPr>
          <w:rFonts w:cs="Calibri"/>
          <w:szCs w:val="18"/>
          <w:lang w:val="fo-FO"/>
        </w:rPr>
        <w:t xml:space="preserve">grundað </w:t>
      </w:r>
      <w:r w:rsidRPr="00F043AA">
        <w:rPr>
          <w:rFonts w:cs="Calibri"/>
          <w:szCs w:val="18"/>
          <w:lang w:val="fo-FO"/>
        </w:rPr>
        <w:t xml:space="preserve">á vøru, persón og sjúkrahús. Allar rokningar skulu verða í formatinum OIO-UBL, sum er </w:t>
      </w:r>
      <w:r w:rsidR="001776FB" w:rsidRPr="00F043AA">
        <w:rPr>
          <w:rFonts w:cs="Calibri"/>
          <w:szCs w:val="18"/>
          <w:lang w:val="fo-FO"/>
        </w:rPr>
        <w:t>formatið</w:t>
      </w:r>
      <w:r w:rsidRPr="00F043AA">
        <w:rPr>
          <w:rFonts w:cs="Calibri"/>
          <w:szCs w:val="18"/>
          <w:lang w:val="fo-FO"/>
        </w:rPr>
        <w:t xml:space="preserve">, sum Gjaldstovan nýtir. Somuleiðis er tað eitt krav, at </w:t>
      </w:r>
      <w:r w:rsidR="00F93090" w:rsidRPr="00F043AA">
        <w:rPr>
          <w:rFonts w:cs="Calibri"/>
          <w:szCs w:val="18"/>
          <w:lang w:val="fo-FO"/>
        </w:rPr>
        <w:t>rammuavtala</w:t>
      </w:r>
      <w:r w:rsidRPr="00F043AA">
        <w:rPr>
          <w:rFonts w:cs="Calibri"/>
          <w:szCs w:val="18"/>
          <w:lang w:val="fo-FO"/>
        </w:rPr>
        <w:t xml:space="preserve">n og persónur, sum bíleggur, </w:t>
      </w:r>
      <w:r w:rsidR="00F93090" w:rsidRPr="00F043AA">
        <w:rPr>
          <w:rFonts w:cs="Calibri"/>
          <w:szCs w:val="18"/>
          <w:lang w:val="fo-FO"/>
        </w:rPr>
        <w:t xml:space="preserve">framganga </w:t>
      </w:r>
      <w:r w:rsidR="001776FB" w:rsidRPr="00F043AA">
        <w:rPr>
          <w:rFonts w:cs="Calibri"/>
          <w:szCs w:val="18"/>
          <w:lang w:val="fo-FO"/>
        </w:rPr>
        <w:t xml:space="preserve">á </w:t>
      </w:r>
      <w:r w:rsidR="00F93090" w:rsidRPr="00F043AA">
        <w:rPr>
          <w:rFonts w:cs="Calibri"/>
          <w:szCs w:val="18"/>
          <w:lang w:val="fo-FO"/>
        </w:rPr>
        <w:t>øllum øðrum vanligum fakturaupplýsingum.</w:t>
      </w:r>
    </w:p>
    <w:p w14:paraId="072FC6BB" w14:textId="4EE7B306" w:rsidR="00B84FC1" w:rsidRPr="00F043AA" w:rsidRDefault="00B84FC1" w:rsidP="00F02B1B">
      <w:pPr>
        <w:jc w:val="both"/>
        <w:rPr>
          <w:rFonts w:cs="Calibri"/>
          <w:szCs w:val="18"/>
          <w:lang w:val="fo-FO"/>
        </w:rPr>
      </w:pPr>
    </w:p>
    <w:p w14:paraId="4BC55434" w14:textId="6DD67C33" w:rsidR="00FB2B5F" w:rsidRPr="00F043AA" w:rsidRDefault="00B84FC1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SHV fer í næstum </w:t>
      </w:r>
      <w:r w:rsidR="001776FB" w:rsidRPr="00F043AA">
        <w:rPr>
          <w:rFonts w:cs="Calibri"/>
          <w:szCs w:val="18"/>
          <w:lang w:val="fo-FO"/>
        </w:rPr>
        <w:t xml:space="preserve">yvir til at nýta Microsoft InTune </w:t>
      </w:r>
      <w:r w:rsidR="00FB2B5F" w:rsidRPr="00F043AA">
        <w:rPr>
          <w:rFonts w:cs="Calibri"/>
          <w:szCs w:val="18"/>
          <w:lang w:val="fo-FO"/>
        </w:rPr>
        <w:t>og tilhoyrandi skipanir</w:t>
      </w:r>
      <w:r w:rsidR="001776FB" w:rsidRPr="00F043AA">
        <w:rPr>
          <w:rFonts w:cs="Calibri"/>
          <w:szCs w:val="18"/>
          <w:lang w:val="fo-FO"/>
        </w:rPr>
        <w:t xml:space="preserve">, og tí er tað eitt </w:t>
      </w:r>
      <w:r w:rsidR="00FB2B5F" w:rsidRPr="00F043AA">
        <w:rPr>
          <w:rFonts w:cs="Calibri"/>
          <w:szCs w:val="18"/>
          <w:lang w:val="fo-FO"/>
        </w:rPr>
        <w:t xml:space="preserve">ófrávíkiligt </w:t>
      </w:r>
      <w:r w:rsidR="001776FB" w:rsidRPr="00F043AA">
        <w:rPr>
          <w:rFonts w:cs="Calibri"/>
          <w:szCs w:val="18"/>
          <w:lang w:val="fo-FO"/>
        </w:rPr>
        <w:t xml:space="preserve">krav, at veitarin </w:t>
      </w:r>
      <w:r w:rsidR="00C75A75" w:rsidRPr="00F043AA">
        <w:rPr>
          <w:rFonts w:cs="Calibri"/>
          <w:szCs w:val="18"/>
          <w:lang w:val="fo-FO"/>
        </w:rPr>
        <w:t>kann</w:t>
      </w:r>
      <w:r w:rsidR="00FB2B5F" w:rsidRPr="00F043AA">
        <w:rPr>
          <w:rFonts w:cs="Calibri"/>
          <w:szCs w:val="18"/>
          <w:lang w:val="fo-FO"/>
        </w:rPr>
        <w:t xml:space="preserve"> </w:t>
      </w:r>
      <w:r w:rsidR="001776FB" w:rsidRPr="00F043AA">
        <w:rPr>
          <w:rFonts w:cs="Calibri"/>
          <w:szCs w:val="18"/>
          <w:lang w:val="fo-FO"/>
        </w:rPr>
        <w:t>skráset</w:t>
      </w:r>
      <w:r w:rsidR="00FB2B5F" w:rsidRPr="00F043AA">
        <w:rPr>
          <w:rFonts w:cs="Calibri"/>
          <w:szCs w:val="18"/>
          <w:lang w:val="fo-FO"/>
        </w:rPr>
        <w:t>a</w:t>
      </w:r>
      <w:r w:rsidR="001776FB" w:rsidRPr="00F043AA">
        <w:rPr>
          <w:rFonts w:cs="Calibri"/>
          <w:szCs w:val="18"/>
          <w:lang w:val="fo-FO"/>
        </w:rPr>
        <w:t xml:space="preserve"> </w:t>
      </w:r>
      <w:r w:rsidR="005D33AD" w:rsidRPr="00F043AA">
        <w:rPr>
          <w:rFonts w:cs="Calibri"/>
          <w:szCs w:val="18"/>
          <w:lang w:val="fo-FO"/>
        </w:rPr>
        <w:t xml:space="preserve">HP </w:t>
      </w:r>
      <w:r w:rsidR="001776FB" w:rsidRPr="00F043AA">
        <w:rPr>
          <w:rFonts w:cs="Calibri"/>
          <w:szCs w:val="18"/>
          <w:lang w:val="fo-FO"/>
        </w:rPr>
        <w:t xml:space="preserve">teldur í InTune portalinum, soleiðis at hesar </w:t>
      </w:r>
      <w:r w:rsidR="00FB2B5F" w:rsidRPr="00F043AA">
        <w:rPr>
          <w:rFonts w:cs="Calibri"/>
          <w:szCs w:val="18"/>
          <w:lang w:val="fo-FO"/>
        </w:rPr>
        <w:t xml:space="preserve">verða sjálvvirkandi uppsettar </w:t>
      </w:r>
      <w:r w:rsidR="001776FB" w:rsidRPr="00F043AA">
        <w:rPr>
          <w:rFonts w:cs="Calibri"/>
          <w:szCs w:val="18"/>
          <w:lang w:val="fo-FO"/>
        </w:rPr>
        <w:t>umvegis Autopilot</w:t>
      </w:r>
      <w:r w:rsidR="00C75A75" w:rsidRPr="00F043AA">
        <w:rPr>
          <w:rFonts w:cs="Calibri"/>
          <w:szCs w:val="18"/>
          <w:lang w:val="fo-FO"/>
        </w:rPr>
        <w:t xml:space="preserve"> tá tær verður handaðar SHV</w:t>
      </w:r>
      <w:r w:rsidR="001776FB" w:rsidRPr="00F043AA">
        <w:rPr>
          <w:rFonts w:cs="Calibri"/>
          <w:szCs w:val="18"/>
          <w:lang w:val="fo-FO"/>
        </w:rPr>
        <w:t>.</w:t>
      </w:r>
      <w:r w:rsidR="00FB2B5F" w:rsidRPr="00F043AA">
        <w:rPr>
          <w:rFonts w:cs="Calibri"/>
          <w:szCs w:val="18"/>
          <w:lang w:val="fo-FO"/>
        </w:rPr>
        <w:t xml:space="preserve"> </w:t>
      </w:r>
    </w:p>
    <w:p w14:paraId="776C4CE3" w14:textId="77777777" w:rsidR="00FB2B5F" w:rsidRPr="00F043AA" w:rsidRDefault="00FB2B5F" w:rsidP="00F02B1B">
      <w:pPr>
        <w:jc w:val="both"/>
        <w:rPr>
          <w:rFonts w:cs="Calibri"/>
          <w:szCs w:val="18"/>
          <w:lang w:val="fo-FO"/>
        </w:rPr>
      </w:pPr>
    </w:p>
    <w:p w14:paraId="7B8C2A42" w14:textId="6C27E6CA" w:rsidR="005D33AD" w:rsidRPr="00F043AA" w:rsidRDefault="00FB2B5F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Eins og við teldum, </w:t>
      </w:r>
      <w:r w:rsidR="005D33AD" w:rsidRPr="00F043AA">
        <w:rPr>
          <w:rFonts w:cs="Calibri"/>
          <w:szCs w:val="18"/>
          <w:lang w:val="fo-FO"/>
        </w:rPr>
        <w:t xml:space="preserve">innlimar </w:t>
      </w:r>
      <w:r w:rsidRPr="00F043AA">
        <w:rPr>
          <w:rFonts w:cs="Calibri"/>
          <w:szCs w:val="18"/>
          <w:lang w:val="fo-FO"/>
        </w:rPr>
        <w:t xml:space="preserve">SHV </w:t>
      </w:r>
      <w:r w:rsidR="005D33AD" w:rsidRPr="00F043AA">
        <w:rPr>
          <w:rFonts w:cs="Calibri"/>
          <w:szCs w:val="18"/>
          <w:lang w:val="fo-FO"/>
        </w:rPr>
        <w:t xml:space="preserve">eisini fartelefonir í Microsoft InTune, og tískil er tað eisini </w:t>
      </w:r>
      <w:r w:rsidR="00C75A75" w:rsidRPr="00F043AA">
        <w:rPr>
          <w:rFonts w:cs="Calibri"/>
          <w:szCs w:val="18"/>
          <w:lang w:val="fo-FO"/>
        </w:rPr>
        <w:t xml:space="preserve">her </w:t>
      </w:r>
      <w:r w:rsidR="005D33AD" w:rsidRPr="00F043AA">
        <w:rPr>
          <w:rFonts w:cs="Calibri"/>
          <w:szCs w:val="18"/>
          <w:lang w:val="fo-FO"/>
        </w:rPr>
        <w:t xml:space="preserve">eitt </w:t>
      </w:r>
      <w:r w:rsidRPr="00F043AA">
        <w:rPr>
          <w:rFonts w:cs="Calibri"/>
          <w:szCs w:val="18"/>
          <w:lang w:val="fo-FO"/>
        </w:rPr>
        <w:t xml:space="preserve">ófrávíkiligt </w:t>
      </w:r>
      <w:r w:rsidR="005D33AD" w:rsidRPr="00F043AA">
        <w:rPr>
          <w:rFonts w:cs="Calibri"/>
          <w:szCs w:val="18"/>
          <w:lang w:val="fo-FO"/>
        </w:rPr>
        <w:t xml:space="preserve">krav, at fartelefonir verða skrásettar, so tær eru klárar til InTune. SHV skilir ímillum fartelefonir, so kallaðar </w:t>
      </w:r>
      <w:r w:rsidR="005D33AD" w:rsidRPr="00F043AA">
        <w:rPr>
          <w:rFonts w:cs="Calibri"/>
          <w:i/>
          <w:iCs/>
          <w:szCs w:val="18"/>
          <w:lang w:val="fo-FO"/>
        </w:rPr>
        <w:t>Bring Your Own</w:t>
      </w:r>
      <w:r w:rsidR="005D33AD" w:rsidRPr="00F043AA">
        <w:rPr>
          <w:rFonts w:cs="Calibri"/>
          <w:szCs w:val="18"/>
          <w:lang w:val="fo-FO"/>
        </w:rPr>
        <w:t xml:space="preserve"> Device (BYOD) og </w:t>
      </w:r>
      <w:r w:rsidR="005D33AD" w:rsidRPr="00F043AA">
        <w:rPr>
          <w:rFonts w:cs="Calibri"/>
          <w:i/>
          <w:iCs/>
          <w:szCs w:val="18"/>
          <w:lang w:val="fo-FO"/>
        </w:rPr>
        <w:t>Coperate-Owned, Personal-Enabled</w:t>
      </w:r>
      <w:r w:rsidR="005D33AD" w:rsidRPr="00F043AA">
        <w:rPr>
          <w:rFonts w:cs="Calibri"/>
          <w:szCs w:val="18"/>
          <w:lang w:val="fo-FO"/>
        </w:rPr>
        <w:t xml:space="preserve"> (COPE). Tað eru bert COPE fartelefonir, sum veitarin skal skráseta; BYOD verða skrásettar manuelt.</w:t>
      </w:r>
    </w:p>
    <w:p w14:paraId="77FA88B6" w14:textId="77777777" w:rsidR="001776FB" w:rsidRPr="00F043AA" w:rsidRDefault="001776FB" w:rsidP="00F02B1B">
      <w:pPr>
        <w:jc w:val="both"/>
        <w:rPr>
          <w:rFonts w:cs="Calibri"/>
          <w:szCs w:val="18"/>
          <w:lang w:val="fo-FO"/>
        </w:rPr>
      </w:pPr>
    </w:p>
    <w:p w14:paraId="2A9CF790" w14:textId="7B0C651D" w:rsidR="00F93090" w:rsidRPr="00F043AA" w:rsidRDefault="00F93090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Sí annars </w:t>
      </w:r>
      <w:r w:rsidR="009B1B25" w:rsidRPr="00F043AA">
        <w:rPr>
          <w:rFonts w:cs="Calibri"/>
          <w:szCs w:val="18"/>
          <w:lang w:val="fo-FO"/>
        </w:rPr>
        <w:t xml:space="preserve">skjalið </w:t>
      </w:r>
      <w:r w:rsidR="009B1B25" w:rsidRPr="00F043AA">
        <w:rPr>
          <w:rFonts w:cs="Calibri"/>
          <w:i/>
          <w:iCs/>
          <w:szCs w:val="18"/>
          <w:lang w:val="fo-FO"/>
        </w:rPr>
        <w:t>Fylgiskjal A - Uppskot til rammusáttmála - KT útgerð.docx</w:t>
      </w:r>
      <w:r w:rsidRPr="00F043AA">
        <w:rPr>
          <w:rFonts w:cs="Calibri"/>
          <w:szCs w:val="18"/>
          <w:lang w:val="fo-FO"/>
        </w:rPr>
        <w:t xml:space="preserve">. </w:t>
      </w:r>
    </w:p>
    <w:p w14:paraId="37BF73CF" w14:textId="77777777" w:rsidR="00F93090" w:rsidRPr="00F043AA" w:rsidRDefault="00F93090" w:rsidP="00F02B1B">
      <w:pPr>
        <w:jc w:val="both"/>
        <w:rPr>
          <w:rFonts w:cs="Calibri"/>
          <w:lang w:val="fo-FO"/>
        </w:rPr>
      </w:pPr>
    </w:p>
    <w:p w14:paraId="42D8576F" w14:textId="42765EFB" w:rsidR="005267CD" w:rsidRPr="00F043AA" w:rsidRDefault="00B46375" w:rsidP="005D0023">
      <w:pPr>
        <w:pStyle w:val="Heading2"/>
      </w:pPr>
      <w:bookmarkStart w:id="11" w:name="_Toc117497596"/>
      <w:r w:rsidRPr="00F043AA">
        <w:t xml:space="preserve">Meting av tilboði og </w:t>
      </w:r>
      <w:r w:rsidR="003350A3" w:rsidRPr="00F043AA">
        <w:t>framferðarháttir</w:t>
      </w:r>
      <w:bookmarkEnd w:id="11"/>
    </w:p>
    <w:p w14:paraId="76D43A31" w14:textId="126065DC" w:rsidR="005267CD" w:rsidRPr="00F043AA" w:rsidRDefault="005267CD" w:rsidP="00F02B1B">
      <w:pPr>
        <w:jc w:val="both"/>
        <w:rPr>
          <w:rFonts w:cs="Calibri"/>
          <w:lang w:val="fo-FO"/>
        </w:rPr>
      </w:pPr>
      <w:r w:rsidRPr="00F043AA">
        <w:rPr>
          <w:rFonts w:cs="Calibri"/>
          <w:lang w:val="fo-FO"/>
        </w:rPr>
        <w:t>Fyrst verður kannað eftir, um tilboðið lýkur krøv og ásetingar</w:t>
      </w:r>
      <w:r w:rsidR="00D6375F" w:rsidRPr="00F043AA">
        <w:rPr>
          <w:rFonts w:cs="Calibri"/>
          <w:lang w:val="fo-FO"/>
        </w:rPr>
        <w:t>,</w:t>
      </w:r>
      <w:r w:rsidRPr="00F043AA">
        <w:rPr>
          <w:rFonts w:cs="Calibri"/>
          <w:lang w:val="fo-FO"/>
        </w:rPr>
        <w:t xml:space="preserve"> </w:t>
      </w:r>
      <w:r w:rsidR="00D6375F" w:rsidRPr="00F043AA">
        <w:rPr>
          <w:rFonts w:cs="Calibri"/>
          <w:lang w:val="fo-FO"/>
        </w:rPr>
        <w:t xml:space="preserve">ið eru </w:t>
      </w:r>
      <w:r w:rsidR="00AE623C" w:rsidRPr="00F043AA">
        <w:rPr>
          <w:rFonts w:cs="Calibri"/>
          <w:lang w:val="fo-FO"/>
        </w:rPr>
        <w:t>lýst omanfyri</w:t>
      </w:r>
      <w:r w:rsidR="00E468A5" w:rsidRPr="00F043AA">
        <w:rPr>
          <w:rFonts w:cs="Calibri"/>
          <w:lang w:val="fo-FO"/>
        </w:rPr>
        <w:t>. Harnæst verður kannað um kravfestingarnar</w:t>
      </w:r>
      <w:r w:rsidR="00AE623C" w:rsidRPr="00F043AA">
        <w:rPr>
          <w:rFonts w:cs="Calibri"/>
          <w:lang w:val="fo-FO"/>
        </w:rPr>
        <w:t xml:space="preserve"> í </w:t>
      </w:r>
      <w:r w:rsidR="00AE623C" w:rsidRPr="00F043AA">
        <w:rPr>
          <w:rFonts w:cs="Calibri"/>
          <w:i/>
          <w:iCs/>
          <w:lang w:val="fo-FO"/>
        </w:rPr>
        <w:t xml:space="preserve">fylgiskjali </w:t>
      </w:r>
      <w:r w:rsidR="00F73026" w:rsidRPr="00F043AA">
        <w:rPr>
          <w:rFonts w:cs="Calibri"/>
          <w:i/>
          <w:iCs/>
          <w:lang w:val="fo-FO"/>
        </w:rPr>
        <w:t>B</w:t>
      </w:r>
      <w:r w:rsidR="00E468A5" w:rsidRPr="00F043AA">
        <w:rPr>
          <w:rFonts w:cs="Calibri"/>
          <w:lang w:val="fo-FO"/>
        </w:rPr>
        <w:t xml:space="preserve"> eru </w:t>
      </w:r>
      <w:r w:rsidR="00090F48" w:rsidRPr="00F043AA">
        <w:rPr>
          <w:rFonts w:cs="Calibri"/>
          <w:lang w:val="fo-FO"/>
        </w:rPr>
        <w:t>uppfyltar</w:t>
      </w:r>
      <w:r w:rsidRPr="00F043AA">
        <w:rPr>
          <w:rFonts w:cs="Calibri"/>
          <w:lang w:val="fo-FO"/>
        </w:rPr>
        <w:t xml:space="preserve">. Síðani verða tilboðini viðgjørd </w:t>
      </w:r>
      <w:r w:rsidR="00AE623C" w:rsidRPr="00F043AA">
        <w:rPr>
          <w:rFonts w:cs="Calibri"/>
          <w:lang w:val="fo-FO"/>
        </w:rPr>
        <w:t>hvør sær</w:t>
      </w:r>
      <w:r w:rsidRPr="00F043AA">
        <w:rPr>
          <w:rFonts w:cs="Calibri"/>
          <w:lang w:val="fo-FO"/>
        </w:rPr>
        <w:t xml:space="preserve">. Niðurstøðan um, hvat av tilboðunum tikið verður av, verður grundað á eina heildarmeting við denti á tey viðurskifti, sum eru nevnd í hesum </w:t>
      </w:r>
      <w:r w:rsidR="00F02B1B" w:rsidRPr="00F043AA">
        <w:rPr>
          <w:rFonts w:cs="Calibri"/>
          <w:lang w:val="fo-FO"/>
        </w:rPr>
        <w:t>útboði</w:t>
      </w:r>
      <w:r w:rsidRPr="00F043AA">
        <w:rPr>
          <w:rFonts w:cs="Calibri"/>
          <w:lang w:val="fo-FO"/>
        </w:rPr>
        <w:t>.</w:t>
      </w:r>
    </w:p>
    <w:p w14:paraId="5B394A6F" w14:textId="77777777" w:rsidR="00F02B1B" w:rsidRPr="00F043AA" w:rsidRDefault="00F02B1B" w:rsidP="00F02B1B">
      <w:pPr>
        <w:jc w:val="both"/>
        <w:rPr>
          <w:rFonts w:cs="Calibri"/>
          <w:lang w:val="fo-FO"/>
        </w:rPr>
      </w:pPr>
    </w:p>
    <w:p w14:paraId="261B920E" w14:textId="3D70ED0F" w:rsidR="00F02B1B" w:rsidRPr="00F043AA" w:rsidRDefault="00F02B1B" w:rsidP="00F02B1B">
      <w:pPr>
        <w:jc w:val="both"/>
        <w:rPr>
          <w:rFonts w:cs="Calibri"/>
          <w:lang w:val="fo-FO"/>
        </w:rPr>
      </w:pPr>
      <w:r w:rsidRPr="00F043AA">
        <w:rPr>
          <w:rFonts w:cs="Calibri"/>
          <w:lang w:val="fo-FO"/>
        </w:rPr>
        <w:t xml:space="preserve">Tilboðsgevari skal hava </w:t>
      </w:r>
      <w:r w:rsidR="00D6375F" w:rsidRPr="00F043AA">
        <w:rPr>
          <w:rFonts w:cs="Calibri"/>
          <w:lang w:val="fo-FO"/>
        </w:rPr>
        <w:t xml:space="preserve">í </w:t>
      </w:r>
      <w:r w:rsidRPr="00F043AA">
        <w:rPr>
          <w:rFonts w:cs="Calibri"/>
          <w:lang w:val="fo-FO"/>
        </w:rPr>
        <w:t>mentu, at av tí</w:t>
      </w:r>
      <w:r w:rsidR="00D6375F" w:rsidRPr="00F043AA">
        <w:rPr>
          <w:rFonts w:cs="Calibri"/>
          <w:lang w:val="fo-FO"/>
        </w:rPr>
        <w:t>,</w:t>
      </w:r>
      <w:r w:rsidRPr="00F043AA">
        <w:rPr>
          <w:rFonts w:cs="Calibri"/>
          <w:lang w:val="fo-FO"/>
        </w:rPr>
        <w:t xml:space="preserve"> at talan er um HP teldur</w:t>
      </w:r>
      <w:r w:rsidR="00E468A5" w:rsidRPr="00F043AA">
        <w:rPr>
          <w:rFonts w:cs="Calibri"/>
          <w:lang w:val="fo-FO"/>
        </w:rPr>
        <w:t xml:space="preserve"> og ávíst fartelefon merkir</w:t>
      </w:r>
      <w:r w:rsidRPr="00F043AA">
        <w:rPr>
          <w:rFonts w:cs="Calibri"/>
          <w:lang w:val="fo-FO"/>
        </w:rPr>
        <w:t xml:space="preserve">, fyllir hesin prísur lutfallslaga meir enn á aðrari útgerð í </w:t>
      </w:r>
      <w:r w:rsidRPr="00F043AA">
        <w:rPr>
          <w:rFonts w:cs="Calibri"/>
          <w:i/>
          <w:iCs/>
          <w:lang w:val="fo-FO"/>
        </w:rPr>
        <w:t xml:space="preserve">fylgiskjali </w:t>
      </w:r>
      <w:r w:rsidR="00F73026" w:rsidRPr="00F043AA">
        <w:rPr>
          <w:rFonts w:cs="Calibri"/>
          <w:i/>
          <w:iCs/>
          <w:lang w:val="fo-FO"/>
        </w:rPr>
        <w:t>B</w:t>
      </w:r>
      <w:r w:rsidRPr="00F043AA">
        <w:rPr>
          <w:rFonts w:cs="Calibri"/>
          <w:lang w:val="fo-FO"/>
        </w:rPr>
        <w:t xml:space="preserve">. </w:t>
      </w:r>
      <w:r w:rsidR="000D663D" w:rsidRPr="00F043AA">
        <w:rPr>
          <w:rFonts w:cs="Calibri"/>
          <w:lang w:val="fo-FO"/>
        </w:rPr>
        <w:t>Fyrst verður t</w:t>
      </w:r>
      <w:r w:rsidRPr="00F043AA">
        <w:rPr>
          <w:rFonts w:cs="Calibri"/>
          <w:lang w:val="fo-FO"/>
        </w:rPr>
        <w:t xml:space="preserve">illutað </w:t>
      </w:r>
      <w:r w:rsidR="000D663D" w:rsidRPr="00F043AA">
        <w:rPr>
          <w:rFonts w:cs="Calibri"/>
          <w:lang w:val="fo-FO"/>
        </w:rPr>
        <w:t>fyri hvønn vørubólk og síðani verða allir vørubólkar taldir saman. P</w:t>
      </w:r>
      <w:r w:rsidRPr="00F043AA">
        <w:rPr>
          <w:rFonts w:cs="Calibri"/>
          <w:lang w:val="fo-FO"/>
        </w:rPr>
        <w:t>rísur telur 75% meðan logistikkur, skipan av innkeypi, o.</w:t>
      </w:r>
      <w:r w:rsidR="000D663D" w:rsidRPr="00F043AA">
        <w:rPr>
          <w:rFonts w:cs="Calibri"/>
          <w:lang w:val="fo-FO"/>
        </w:rPr>
        <w:t>a</w:t>
      </w:r>
      <w:r w:rsidRPr="00F043AA">
        <w:rPr>
          <w:rFonts w:cs="Calibri"/>
          <w:lang w:val="fo-FO"/>
        </w:rPr>
        <w:t>. fyllir hini 25%.</w:t>
      </w:r>
    </w:p>
    <w:p w14:paraId="7719667F" w14:textId="264849B7" w:rsidR="00AE623C" w:rsidRPr="00F043AA" w:rsidRDefault="00AE623C" w:rsidP="00F02B1B">
      <w:pPr>
        <w:jc w:val="both"/>
        <w:rPr>
          <w:rFonts w:cs="Calibri"/>
          <w:lang w:val="fo-FO"/>
        </w:rPr>
      </w:pPr>
    </w:p>
    <w:p w14:paraId="6239993B" w14:textId="250B83CC" w:rsidR="00AE623C" w:rsidRPr="00F043AA" w:rsidRDefault="00AE623C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Prísurin verður roknaður eftir</w:t>
      </w:r>
      <w:r w:rsidR="00D6375F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hvat </w:t>
      </w:r>
      <w:r w:rsidR="003C23FA" w:rsidRPr="00F043AA">
        <w:rPr>
          <w:rFonts w:cs="Calibri"/>
          <w:szCs w:val="18"/>
          <w:lang w:val="fo-FO"/>
        </w:rPr>
        <w:t>mettað</w:t>
      </w:r>
      <w:r w:rsidRPr="00F043AA">
        <w:rPr>
          <w:rFonts w:cs="Calibri"/>
          <w:szCs w:val="18"/>
          <w:lang w:val="fo-FO"/>
        </w:rPr>
        <w:t xml:space="preserve"> árliga innkeypið </w:t>
      </w:r>
      <w:r w:rsidR="003C23FA" w:rsidRPr="00F043AA">
        <w:rPr>
          <w:rFonts w:cs="Calibri"/>
          <w:szCs w:val="18"/>
          <w:lang w:val="fo-FO"/>
        </w:rPr>
        <w:t xml:space="preserve">vísir (sjá </w:t>
      </w:r>
      <w:r w:rsidRPr="00F043AA">
        <w:rPr>
          <w:rFonts w:cs="Calibri"/>
          <w:szCs w:val="18"/>
          <w:lang w:val="fo-FO"/>
        </w:rPr>
        <w:t>talvu omanfyri</w:t>
      </w:r>
      <w:r w:rsidR="003C23FA" w:rsidRPr="00F043AA">
        <w:rPr>
          <w:rFonts w:cs="Calibri"/>
          <w:szCs w:val="18"/>
          <w:lang w:val="fo-FO"/>
        </w:rPr>
        <w:t>)</w:t>
      </w:r>
      <w:r w:rsidRPr="00F043AA">
        <w:rPr>
          <w:rFonts w:cs="Calibri"/>
          <w:szCs w:val="18"/>
          <w:lang w:val="fo-FO"/>
        </w:rPr>
        <w:t xml:space="preserve">. Síðan verður latin ein karakterur, har </w:t>
      </w:r>
      <w:r w:rsidR="003C23FA" w:rsidRPr="00F043AA">
        <w:rPr>
          <w:rFonts w:cs="Calibri"/>
          <w:szCs w:val="18"/>
          <w:lang w:val="fo-FO"/>
        </w:rPr>
        <w:t>tilboði</w:t>
      </w:r>
      <w:r w:rsidR="0016065F" w:rsidRPr="00F043AA">
        <w:rPr>
          <w:rFonts w:cs="Calibri"/>
          <w:szCs w:val="18"/>
          <w:lang w:val="fo-FO"/>
        </w:rPr>
        <w:t>ð</w:t>
      </w:r>
      <w:r w:rsidR="003C23FA" w:rsidRPr="00F043AA">
        <w:rPr>
          <w:rFonts w:cs="Calibri"/>
          <w:szCs w:val="18"/>
          <w:lang w:val="fo-FO"/>
        </w:rPr>
        <w:t xml:space="preserve"> við lægsta prísinum fær 10</w:t>
      </w:r>
      <w:r w:rsidR="00E15A82" w:rsidRPr="00F043AA">
        <w:rPr>
          <w:rFonts w:cs="Calibri"/>
          <w:szCs w:val="18"/>
          <w:lang w:val="fo-FO"/>
        </w:rPr>
        <w:t xml:space="preserve"> (lægsti karakterur er 1)</w:t>
      </w:r>
      <w:r w:rsidRPr="00F043AA">
        <w:rPr>
          <w:rFonts w:cs="Calibri"/>
          <w:szCs w:val="18"/>
          <w:lang w:val="fo-FO"/>
        </w:rPr>
        <w:t>, og restin fær karakter eftir frymlinum</w:t>
      </w:r>
      <w:r w:rsidR="0016065F" w:rsidRPr="00F043AA">
        <w:rPr>
          <w:rFonts w:cs="Calibri"/>
          <w:szCs w:val="18"/>
          <w:lang w:val="fo-FO"/>
        </w:rPr>
        <w:t xml:space="preserve"> niðanfyri</w:t>
      </w:r>
      <w:r w:rsidRPr="00F043AA">
        <w:rPr>
          <w:rFonts w:cs="Calibri"/>
          <w:szCs w:val="18"/>
          <w:lang w:val="fo-FO"/>
        </w:rPr>
        <w:t>:</w:t>
      </w:r>
    </w:p>
    <w:p w14:paraId="48E3B4A6" w14:textId="77777777" w:rsidR="00A2529F" w:rsidRPr="00F043AA" w:rsidRDefault="00A2529F" w:rsidP="00F02B1B">
      <w:pPr>
        <w:jc w:val="both"/>
        <w:rPr>
          <w:rFonts w:cs="Calibri"/>
          <w:szCs w:val="18"/>
          <w:lang w:val="fo-FO"/>
        </w:rPr>
      </w:pPr>
    </w:p>
    <w:p w14:paraId="3AC98587" w14:textId="1D64F796" w:rsidR="009D72CD" w:rsidRPr="00F043AA" w:rsidRDefault="009D72CD" w:rsidP="009D72CD">
      <w:pPr>
        <w:jc w:val="center"/>
        <w:rPr>
          <w:rFonts w:cs="Calibri"/>
          <w:i/>
          <w:iCs/>
          <w:sz w:val="20"/>
          <w:szCs w:val="16"/>
          <w:lang w:val="fo-FO"/>
        </w:rPr>
      </w:pPr>
      <w:r w:rsidRPr="00F043AA">
        <w:rPr>
          <w:rFonts w:cs="Calibri"/>
          <w:i/>
          <w:iCs/>
          <w:sz w:val="20"/>
          <w:szCs w:val="16"/>
          <w:highlight w:val="lightGray"/>
          <w:lang w:val="fo-FO"/>
        </w:rPr>
        <w:t>max. karakter – ((max. karakter – min. karakter) / gearingsfaktor) * (prís – min. prís) / min. prís</w:t>
      </w:r>
    </w:p>
    <w:p w14:paraId="60146B46" w14:textId="1BA093CD" w:rsidR="009D72CD" w:rsidRPr="00F043AA" w:rsidRDefault="009D72CD" w:rsidP="009D72CD">
      <w:pPr>
        <w:jc w:val="center"/>
        <w:rPr>
          <w:rFonts w:cs="Calibri"/>
          <w:i/>
          <w:iCs/>
          <w:sz w:val="20"/>
          <w:szCs w:val="16"/>
          <w:lang w:val="fo-FO"/>
        </w:rPr>
      </w:pPr>
      <w:r>
        <w:rPr>
          <w:rFonts w:cs="Calibri"/>
          <w:i/>
          <w:iCs/>
          <w:sz w:val="20"/>
          <w:szCs w:val="16"/>
          <w:highlight w:val="lightGray"/>
          <w:lang w:val="fo-FO"/>
        </w:rPr>
        <w:t>10</w:t>
      </w:r>
      <w:r w:rsidRPr="00F043AA">
        <w:rPr>
          <w:rFonts w:cs="Calibri"/>
          <w:i/>
          <w:iCs/>
          <w:sz w:val="20"/>
          <w:szCs w:val="16"/>
          <w:highlight w:val="lightGray"/>
          <w:lang w:val="fo-FO"/>
        </w:rPr>
        <w:t xml:space="preserve"> – ((</w:t>
      </w:r>
      <w:r>
        <w:rPr>
          <w:rFonts w:cs="Calibri"/>
          <w:i/>
          <w:iCs/>
          <w:sz w:val="20"/>
          <w:szCs w:val="16"/>
          <w:highlight w:val="lightGray"/>
          <w:lang w:val="fo-FO"/>
        </w:rPr>
        <w:t>10</w:t>
      </w:r>
      <w:r w:rsidRPr="00F043AA">
        <w:rPr>
          <w:rFonts w:cs="Calibri"/>
          <w:i/>
          <w:iCs/>
          <w:sz w:val="20"/>
          <w:szCs w:val="16"/>
          <w:highlight w:val="lightGray"/>
          <w:lang w:val="fo-FO"/>
        </w:rPr>
        <w:t xml:space="preserve"> – </w:t>
      </w:r>
      <w:r>
        <w:rPr>
          <w:rFonts w:cs="Calibri"/>
          <w:i/>
          <w:iCs/>
          <w:sz w:val="20"/>
          <w:szCs w:val="16"/>
          <w:highlight w:val="lightGray"/>
          <w:lang w:val="fo-FO"/>
        </w:rPr>
        <w:t>1</w:t>
      </w:r>
      <w:r w:rsidRPr="00F043AA">
        <w:rPr>
          <w:rFonts w:cs="Calibri"/>
          <w:i/>
          <w:iCs/>
          <w:sz w:val="20"/>
          <w:szCs w:val="16"/>
          <w:highlight w:val="lightGray"/>
          <w:lang w:val="fo-FO"/>
        </w:rPr>
        <w:t xml:space="preserve">) / </w:t>
      </w:r>
      <w:r>
        <w:rPr>
          <w:rFonts w:cs="Calibri"/>
          <w:i/>
          <w:iCs/>
          <w:sz w:val="20"/>
          <w:szCs w:val="16"/>
          <w:highlight w:val="lightGray"/>
          <w:lang w:val="fo-FO"/>
        </w:rPr>
        <w:t>100%</w:t>
      </w:r>
      <w:r w:rsidRPr="00F043AA">
        <w:rPr>
          <w:rFonts w:cs="Calibri"/>
          <w:i/>
          <w:iCs/>
          <w:sz w:val="20"/>
          <w:szCs w:val="16"/>
          <w:highlight w:val="lightGray"/>
          <w:lang w:val="fo-FO"/>
        </w:rPr>
        <w:t>) * (prís – min. prís) / min. prís</w:t>
      </w:r>
    </w:p>
    <w:p w14:paraId="3EA45F90" w14:textId="16F14648" w:rsidR="003C23FA" w:rsidRPr="00F043AA" w:rsidRDefault="00090F48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noProof/>
          <w:szCs w:val="18"/>
          <w:lang w:val="fo-F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5A68B" wp14:editId="02982E50">
                <wp:simplePos x="0" y="0"/>
                <wp:positionH relativeFrom="column">
                  <wp:posOffset>102870</wp:posOffset>
                </wp:positionH>
                <wp:positionV relativeFrom="paragraph">
                  <wp:posOffset>222250</wp:posOffset>
                </wp:positionV>
                <wp:extent cx="6292215" cy="6286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9548" w14:textId="7F82E85F" w:rsidR="00090F48" w:rsidRPr="00090F48" w:rsidRDefault="00090F48" w:rsidP="00090F48">
                            <w:pPr>
                              <w:jc w:val="both"/>
                              <w:rPr>
                                <w:rFonts w:cs="Calibri"/>
                                <w:szCs w:val="18"/>
                                <w:lang w:val="fo-FO"/>
                              </w:rPr>
                            </w:pPr>
                            <w:r w:rsidRPr="00090F48">
                              <w:rPr>
                                <w:rFonts w:cs="Calibri"/>
                                <w:szCs w:val="18"/>
                                <w:lang w:val="fo-FO"/>
                              </w:rPr>
                              <w:t>Dømi:</w:t>
                            </w:r>
                          </w:p>
                          <w:p w14:paraId="79F80969" w14:textId="276DD351" w:rsidR="00090F48" w:rsidRPr="00090F48" w:rsidRDefault="00090F48" w:rsidP="00090F48">
                            <w:pPr>
                              <w:jc w:val="both"/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</w:pP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Um boðini frá 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u w:val="single"/>
                                <w:lang w:val="fo-FO"/>
                              </w:rPr>
                              <w:t>veitara 1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 og 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u w:val="single"/>
                                <w:lang w:val="fo-FO"/>
                              </w:rPr>
                              <w:t>veitara 2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 ávikavist eru 435.000 kr. og 543.000 kr., fær 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u w:val="single"/>
                                <w:lang w:val="fo-FO"/>
                              </w:rPr>
                              <w:t>veitari 1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 </w:t>
                            </w:r>
                            <w:r w:rsidRPr="00090F4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Cs w:val="18"/>
                                <w:lang w:val="fo-FO"/>
                              </w:rPr>
                              <w:t>10 stig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 meðan 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u w:val="single"/>
                                <w:lang w:val="fo-FO"/>
                              </w:rPr>
                              <w:t>veitari 2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 xml:space="preserve"> fær </w:t>
                            </w:r>
                            <w:r w:rsidRPr="00090F4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Cs w:val="18"/>
                                <w:lang w:val="fo-FO"/>
                              </w:rPr>
                              <w:t>7,77 stig</w:t>
                            </w:r>
                            <w:r w:rsidRPr="00090F48">
                              <w:rPr>
                                <w:rFonts w:cs="Calibri"/>
                                <w:i/>
                                <w:iCs/>
                                <w:szCs w:val="18"/>
                                <w:lang w:val="fo-FO"/>
                              </w:rPr>
                              <w:t>.</w:t>
                            </w:r>
                          </w:p>
                          <w:p w14:paraId="652221E5" w14:textId="1EDC06A7" w:rsidR="00090F48" w:rsidRDefault="0009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A68B" id="Text Box 2" o:spid="_x0000_s1027" type="#_x0000_t202" style="position:absolute;left:0;text-align:left;margin-left:8.1pt;margin-top:17.5pt;width:495.4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">
                <v:textbox>
                  <w:txbxContent>
                    <w:p w14:paraId="3B509548" w14:textId="7F82E85F" w:rsidR="00090F48" w:rsidRPr="00090F48" w:rsidRDefault="00090F48" w:rsidP="00090F48">
                      <w:pPr>
                        <w:jc w:val="both"/>
                        <w:rPr>
                          <w:rFonts w:cs="Calibri"/>
                          <w:szCs w:val="18"/>
                          <w:lang w:val="fo-FO"/>
                        </w:rPr>
                      </w:pPr>
                      <w:r w:rsidRPr="00090F48">
                        <w:rPr>
                          <w:rFonts w:cs="Calibri"/>
                          <w:szCs w:val="18"/>
                          <w:lang w:val="fo-FO"/>
                        </w:rPr>
                        <w:t>Dømi:</w:t>
                      </w:r>
                    </w:p>
                    <w:p w14:paraId="79F80969" w14:textId="276DD351" w:rsidR="00090F48" w:rsidRPr="00090F48" w:rsidRDefault="00090F48" w:rsidP="00090F48">
                      <w:pPr>
                        <w:jc w:val="both"/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</w:pP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Um boðini frá 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u w:val="single"/>
                          <w:lang w:val="fo-FO"/>
                        </w:rPr>
                        <w:t>veitara 1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 og 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u w:val="single"/>
                          <w:lang w:val="fo-FO"/>
                        </w:rPr>
                        <w:t>veitara 2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 ávikavist eru 435.000 kr. og 543.000 kr., fær 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u w:val="single"/>
                          <w:lang w:val="fo-FO"/>
                        </w:rPr>
                        <w:t>veitari 1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 </w:t>
                      </w:r>
                      <w:r w:rsidRPr="00090F48">
                        <w:rPr>
                          <w:rFonts w:cs="Calibri"/>
                          <w:b/>
                          <w:bCs/>
                          <w:i/>
                          <w:iCs/>
                          <w:szCs w:val="18"/>
                          <w:lang w:val="fo-FO"/>
                        </w:rPr>
                        <w:t>10 stig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 meðan 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u w:val="single"/>
                          <w:lang w:val="fo-FO"/>
                        </w:rPr>
                        <w:t>veitari 2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 xml:space="preserve"> fær </w:t>
                      </w:r>
                      <w:r w:rsidRPr="00090F48">
                        <w:rPr>
                          <w:rFonts w:cs="Calibri"/>
                          <w:b/>
                          <w:bCs/>
                          <w:i/>
                          <w:iCs/>
                          <w:szCs w:val="18"/>
                          <w:lang w:val="fo-FO"/>
                        </w:rPr>
                        <w:t>7,77 stig</w:t>
                      </w:r>
                      <w:r w:rsidRPr="00090F48">
                        <w:rPr>
                          <w:rFonts w:cs="Calibri"/>
                          <w:i/>
                          <w:iCs/>
                          <w:szCs w:val="18"/>
                          <w:lang w:val="fo-FO"/>
                        </w:rPr>
                        <w:t>.</w:t>
                      </w:r>
                    </w:p>
                    <w:p w14:paraId="652221E5" w14:textId="1EDC06A7" w:rsidR="00090F48" w:rsidRDefault="00090F48"/>
                  </w:txbxContent>
                </v:textbox>
                <w10:wrap type="square"/>
              </v:shape>
            </w:pict>
          </mc:Fallback>
        </mc:AlternateContent>
      </w:r>
    </w:p>
    <w:p w14:paraId="51FC35B2" w14:textId="77777777" w:rsidR="00090F48" w:rsidRPr="00F043AA" w:rsidRDefault="00090F48" w:rsidP="00F02B1B">
      <w:pPr>
        <w:jc w:val="both"/>
        <w:rPr>
          <w:rFonts w:cs="Calibri"/>
          <w:szCs w:val="18"/>
          <w:lang w:val="fo-FO"/>
        </w:rPr>
      </w:pPr>
    </w:p>
    <w:p w14:paraId="3FDA525C" w14:textId="233561F8" w:rsidR="00AE623C" w:rsidRPr="00F043AA" w:rsidRDefault="007D5FA1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L</w:t>
      </w:r>
      <w:r w:rsidR="00A2529F" w:rsidRPr="00F043AA">
        <w:rPr>
          <w:rFonts w:cs="Calibri"/>
          <w:lang w:val="fo-FO"/>
        </w:rPr>
        <w:t>ogistikkur, skipan av innkeypi, o.t.</w:t>
      </w:r>
      <w:r w:rsidR="00AE623C" w:rsidRPr="00F043AA">
        <w:rPr>
          <w:rFonts w:cs="Calibri"/>
          <w:szCs w:val="18"/>
          <w:lang w:val="fo-FO"/>
        </w:rPr>
        <w:t xml:space="preserve"> verður </w:t>
      </w:r>
      <w:r w:rsidRPr="00F043AA">
        <w:rPr>
          <w:rFonts w:cs="Calibri"/>
          <w:szCs w:val="18"/>
          <w:lang w:val="fo-FO"/>
        </w:rPr>
        <w:t xml:space="preserve">mett av </w:t>
      </w:r>
      <w:r w:rsidR="00E15A82" w:rsidRPr="00F043AA">
        <w:rPr>
          <w:rFonts w:cs="Calibri"/>
          <w:szCs w:val="18"/>
          <w:lang w:val="fo-FO"/>
        </w:rPr>
        <w:t xml:space="preserve">einum bólki av </w:t>
      </w:r>
      <w:r w:rsidRPr="00F043AA">
        <w:rPr>
          <w:rFonts w:cs="Calibri"/>
          <w:szCs w:val="18"/>
          <w:lang w:val="fo-FO"/>
        </w:rPr>
        <w:t>starvsfólk</w:t>
      </w:r>
      <w:r w:rsidR="00E15A82" w:rsidRPr="00F043AA">
        <w:rPr>
          <w:rFonts w:cs="Calibri"/>
          <w:szCs w:val="18"/>
          <w:lang w:val="fo-FO"/>
        </w:rPr>
        <w:t>um</w:t>
      </w:r>
      <w:r w:rsidRPr="00F043AA">
        <w:rPr>
          <w:rFonts w:cs="Calibri"/>
          <w:szCs w:val="18"/>
          <w:lang w:val="fo-FO"/>
        </w:rPr>
        <w:t xml:space="preserve"> </w:t>
      </w:r>
      <w:r w:rsidR="00FB2B5F" w:rsidRPr="00F043AA">
        <w:rPr>
          <w:rFonts w:cs="Calibri"/>
          <w:szCs w:val="18"/>
          <w:lang w:val="fo-FO"/>
        </w:rPr>
        <w:t>í</w:t>
      </w:r>
      <w:r w:rsidR="00384E28" w:rsidRPr="00F043AA">
        <w:rPr>
          <w:rFonts w:cs="Calibri"/>
          <w:szCs w:val="18"/>
          <w:lang w:val="fo-FO"/>
        </w:rPr>
        <w:t xml:space="preserve"> </w:t>
      </w:r>
      <w:r w:rsidRPr="00F043AA">
        <w:rPr>
          <w:rFonts w:cs="Calibri"/>
          <w:szCs w:val="18"/>
          <w:lang w:val="fo-FO"/>
        </w:rPr>
        <w:t>SHV</w:t>
      </w:r>
      <w:r w:rsidR="00AE623C" w:rsidRPr="00F043AA">
        <w:rPr>
          <w:rFonts w:cs="Calibri"/>
          <w:szCs w:val="18"/>
          <w:lang w:val="fo-FO"/>
        </w:rPr>
        <w:t xml:space="preserve">. </w:t>
      </w:r>
      <w:r w:rsidRPr="00F043AA">
        <w:rPr>
          <w:rFonts w:cs="Calibri"/>
          <w:szCs w:val="18"/>
          <w:lang w:val="fo-FO"/>
        </w:rPr>
        <w:t xml:space="preserve">Hesin partur fær </w:t>
      </w:r>
      <w:r w:rsidR="00AE623C" w:rsidRPr="00F043AA">
        <w:rPr>
          <w:rFonts w:cs="Calibri"/>
          <w:szCs w:val="18"/>
          <w:lang w:val="fo-FO"/>
        </w:rPr>
        <w:t xml:space="preserve">karakter frá </w:t>
      </w:r>
      <w:r w:rsidR="00A2529F" w:rsidRPr="00F043AA">
        <w:rPr>
          <w:rFonts w:cs="Calibri"/>
          <w:szCs w:val="18"/>
          <w:lang w:val="fo-FO"/>
        </w:rPr>
        <w:t>1</w:t>
      </w:r>
      <w:r w:rsidR="00AE623C" w:rsidRPr="00F043AA">
        <w:rPr>
          <w:rFonts w:cs="Calibri"/>
          <w:szCs w:val="18"/>
          <w:lang w:val="fo-FO"/>
        </w:rPr>
        <w:t>-</w:t>
      </w:r>
      <w:r w:rsidR="00A2529F" w:rsidRPr="00F043AA">
        <w:rPr>
          <w:rFonts w:cs="Calibri"/>
          <w:szCs w:val="18"/>
          <w:lang w:val="fo-FO"/>
        </w:rPr>
        <w:t>10</w:t>
      </w:r>
      <w:r w:rsidR="00AE623C" w:rsidRPr="00F043AA">
        <w:rPr>
          <w:rFonts w:cs="Calibri"/>
          <w:szCs w:val="18"/>
          <w:lang w:val="fo-FO"/>
        </w:rPr>
        <w:t>.</w:t>
      </w:r>
      <w:r w:rsidR="00F02B1B" w:rsidRPr="00F043AA">
        <w:rPr>
          <w:rFonts w:cs="Calibri"/>
          <w:szCs w:val="18"/>
          <w:lang w:val="fo-FO"/>
        </w:rPr>
        <w:t xml:space="preserve"> Vinnarin er tann veitari, sum fær </w:t>
      </w:r>
      <w:r w:rsidR="00AE623C" w:rsidRPr="00F043AA">
        <w:rPr>
          <w:rFonts w:cs="Calibri"/>
          <w:szCs w:val="18"/>
          <w:lang w:val="fo-FO"/>
        </w:rPr>
        <w:t xml:space="preserve">hægsta </w:t>
      </w:r>
      <w:r w:rsidRPr="00F043AA">
        <w:rPr>
          <w:rFonts w:cs="Calibri"/>
          <w:szCs w:val="18"/>
          <w:lang w:val="fo-FO"/>
        </w:rPr>
        <w:t xml:space="preserve">samlaðan </w:t>
      </w:r>
      <w:r w:rsidR="00AE623C" w:rsidRPr="00F043AA">
        <w:rPr>
          <w:rFonts w:cs="Calibri"/>
          <w:szCs w:val="18"/>
          <w:lang w:val="fo-FO"/>
        </w:rPr>
        <w:t>karakter</w:t>
      </w:r>
      <w:r w:rsidRPr="00F043AA">
        <w:rPr>
          <w:rFonts w:cs="Calibri"/>
          <w:szCs w:val="18"/>
          <w:lang w:val="fo-FO"/>
        </w:rPr>
        <w:t>,</w:t>
      </w:r>
      <w:r w:rsidR="00F02B1B" w:rsidRPr="00F043AA">
        <w:rPr>
          <w:rFonts w:cs="Calibri"/>
          <w:szCs w:val="18"/>
          <w:lang w:val="fo-FO"/>
        </w:rPr>
        <w:t xml:space="preserve"> og fær sostatt rættin </w:t>
      </w:r>
      <w:r w:rsidR="00AE623C" w:rsidRPr="00F043AA">
        <w:rPr>
          <w:rFonts w:cs="Calibri"/>
          <w:szCs w:val="18"/>
          <w:lang w:val="fo-FO"/>
        </w:rPr>
        <w:t>til at gera rammusáttmála</w:t>
      </w:r>
      <w:r w:rsidR="00F02B1B" w:rsidRPr="00F043AA">
        <w:rPr>
          <w:rFonts w:cs="Calibri"/>
          <w:szCs w:val="18"/>
          <w:lang w:val="fo-FO"/>
        </w:rPr>
        <w:t xml:space="preserve"> við Sjúkrahúsverkið</w:t>
      </w:r>
      <w:r w:rsidR="00AE623C" w:rsidRPr="00F043AA">
        <w:rPr>
          <w:rFonts w:cs="Calibri"/>
          <w:szCs w:val="18"/>
          <w:lang w:val="fo-FO"/>
        </w:rPr>
        <w:t xml:space="preserve">. </w:t>
      </w:r>
    </w:p>
    <w:p w14:paraId="0E68B6CD" w14:textId="77777777" w:rsidR="00AE623C" w:rsidRPr="00F043AA" w:rsidRDefault="00AE623C" w:rsidP="00F02B1B">
      <w:pPr>
        <w:jc w:val="both"/>
        <w:rPr>
          <w:rFonts w:cs="Calibri"/>
          <w:lang w:val="fo-FO"/>
        </w:rPr>
      </w:pPr>
    </w:p>
    <w:p w14:paraId="14236E31" w14:textId="77777777" w:rsidR="00AE623C" w:rsidRPr="00F043AA" w:rsidRDefault="00AE623C" w:rsidP="005D0023">
      <w:pPr>
        <w:pStyle w:val="Heading2"/>
      </w:pPr>
      <w:bookmarkStart w:id="12" w:name="_Toc83903549"/>
      <w:bookmarkStart w:id="13" w:name="_Toc117497597"/>
      <w:r w:rsidRPr="00F043AA">
        <w:t>Sáttmálalongd</w:t>
      </w:r>
      <w:bookmarkEnd w:id="12"/>
      <w:bookmarkEnd w:id="13"/>
    </w:p>
    <w:p w14:paraId="2E471642" w14:textId="2E8FB509" w:rsidR="00AE623C" w:rsidRPr="00F043AA" w:rsidRDefault="00AE623C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Rammusáttmálin, </w:t>
      </w:r>
      <w:r w:rsidRPr="00F043AA">
        <w:rPr>
          <w:rFonts w:cs="Calibri"/>
          <w:i/>
          <w:iCs/>
          <w:szCs w:val="18"/>
          <w:lang w:val="fo-FO"/>
        </w:rPr>
        <w:t xml:space="preserve">fylgiskjal </w:t>
      </w:r>
      <w:r w:rsidR="00FB2B5F" w:rsidRPr="00F043AA">
        <w:rPr>
          <w:rFonts w:cs="Calibri"/>
          <w:i/>
          <w:iCs/>
          <w:szCs w:val="18"/>
          <w:lang w:val="fo-FO"/>
        </w:rPr>
        <w:t>A</w:t>
      </w:r>
      <w:r w:rsidRPr="00F043AA">
        <w:rPr>
          <w:rFonts w:cs="Calibri"/>
          <w:szCs w:val="18"/>
          <w:lang w:val="fo-FO"/>
        </w:rPr>
        <w:t xml:space="preserve">, verður ein sáttmáli við veitara við eini gildistíð á tvey ár við møguleika fyri leingjan </w:t>
      </w:r>
      <w:r w:rsidR="00F02B1B" w:rsidRPr="00F043AA">
        <w:rPr>
          <w:rFonts w:cs="Calibri"/>
          <w:szCs w:val="18"/>
          <w:lang w:val="fo-FO"/>
        </w:rPr>
        <w:t xml:space="preserve">í </w:t>
      </w:r>
      <w:r w:rsidRPr="00F043AA">
        <w:rPr>
          <w:rFonts w:cs="Calibri"/>
          <w:szCs w:val="18"/>
          <w:lang w:val="fo-FO"/>
        </w:rPr>
        <w:t xml:space="preserve"> eitt ár.</w:t>
      </w:r>
    </w:p>
    <w:p w14:paraId="6718378A" w14:textId="77777777" w:rsidR="00AE623C" w:rsidRPr="00F043AA" w:rsidRDefault="00AE623C" w:rsidP="005D0023">
      <w:pPr>
        <w:pStyle w:val="Heading2"/>
      </w:pPr>
      <w:bookmarkStart w:id="14" w:name="_Toc83903550"/>
      <w:bookmarkStart w:id="15" w:name="_Toc117497598"/>
      <w:r w:rsidRPr="00F043AA">
        <w:t>Spurningar til útboðstilfar</w:t>
      </w:r>
      <w:bookmarkEnd w:id="14"/>
      <w:bookmarkEnd w:id="15"/>
    </w:p>
    <w:p w14:paraId="43A38D5E" w14:textId="26ACD571" w:rsidR="00AE623C" w:rsidRPr="00F043AA" w:rsidRDefault="00AE623C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>Um partar av útboðstilfarinum er</w:t>
      </w:r>
      <w:r w:rsidR="00384E28" w:rsidRPr="00F043AA">
        <w:rPr>
          <w:rFonts w:cs="Calibri"/>
          <w:szCs w:val="22"/>
          <w:lang w:val="fo-FO"/>
        </w:rPr>
        <w:t>u</w:t>
      </w:r>
      <w:r w:rsidRPr="00F043AA">
        <w:rPr>
          <w:rFonts w:cs="Calibri"/>
          <w:szCs w:val="22"/>
          <w:lang w:val="fo-FO"/>
        </w:rPr>
        <w:t xml:space="preserve"> óskynsamir ella ógreiðir, vilja vit </w:t>
      </w:r>
      <w:r w:rsidR="007D5FA1" w:rsidRPr="00F043AA">
        <w:rPr>
          <w:rFonts w:cs="Calibri"/>
          <w:szCs w:val="22"/>
          <w:lang w:val="fo-FO"/>
        </w:rPr>
        <w:t>heita á tilboðsgevara um at</w:t>
      </w:r>
      <w:r w:rsidR="00384E28" w:rsidRPr="00F043AA">
        <w:rPr>
          <w:rFonts w:cs="Calibri"/>
          <w:szCs w:val="22"/>
          <w:lang w:val="fo-FO"/>
        </w:rPr>
        <w:t xml:space="preserve"> seta</w:t>
      </w:r>
      <w:r w:rsidR="007D5FA1" w:rsidRPr="00F043AA">
        <w:rPr>
          <w:rFonts w:cs="Calibri"/>
          <w:szCs w:val="22"/>
          <w:lang w:val="fo-FO"/>
        </w:rPr>
        <w:t xml:space="preserve"> </w:t>
      </w:r>
      <w:r w:rsidRPr="00F043AA">
        <w:rPr>
          <w:rFonts w:cs="Calibri"/>
          <w:szCs w:val="22"/>
          <w:lang w:val="fo-FO"/>
        </w:rPr>
        <w:t>spurningar. Møguligir spurningar skulu setast</w:t>
      </w:r>
      <w:r w:rsidR="00384E28" w:rsidRPr="00F043AA">
        <w:rPr>
          <w:rFonts w:cs="Calibri"/>
          <w:szCs w:val="22"/>
          <w:lang w:val="fo-FO"/>
        </w:rPr>
        <w:t>,</w:t>
      </w:r>
      <w:r w:rsidRPr="00F043AA">
        <w:rPr>
          <w:rFonts w:cs="Calibri"/>
          <w:szCs w:val="22"/>
          <w:lang w:val="fo-FO"/>
        </w:rPr>
        <w:t xml:space="preserve"> áðrenn tíðarfreistin fyri </w:t>
      </w:r>
      <w:r w:rsidR="00384E28" w:rsidRPr="00F043AA">
        <w:rPr>
          <w:rFonts w:cs="Calibri"/>
          <w:szCs w:val="22"/>
          <w:lang w:val="fo-FO"/>
        </w:rPr>
        <w:t xml:space="preserve">spurningar </w:t>
      </w:r>
      <w:r w:rsidR="007D5FA1" w:rsidRPr="00F043AA">
        <w:rPr>
          <w:rFonts w:cs="Calibri"/>
          <w:szCs w:val="22"/>
          <w:lang w:val="fo-FO"/>
        </w:rPr>
        <w:t>er gingin út</w:t>
      </w:r>
      <w:r w:rsidRPr="00F043AA">
        <w:rPr>
          <w:rFonts w:cs="Calibri"/>
          <w:szCs w:val="22"/>
          <w:lang w:val="fo-FO"/>
        </w:rPr>
        <w:t xml:space="preserve">. Spurningarnir verða svaraðir skjótast møguligt, og lagdir út á Keypsportalin dulnevndir. Spurningar skulu latast inn umvegis teldupost til </w:t>
      </w:r>
      <w:hyperlink r:id="rId15" w:history="1">
        <w:r w:rsidR="003D0899" w:rsidRPr="00F043AA">
          <w:rPr>
            <w:rStyle w:val="Hyperlink"/>
            <w:rFonts w:cs="Calibri"/>
            <w:szCs w:val="22"/>
            <w:lang w:val="fo-FO"/>
          </w:rPr>
          <w:t>annfinn.thomsen@ls.fo</w:t>
        </w:r>
      </w:hyperlink>
      <w:r w:rsidR="003D0899" w:rsidRPr="00F043AA">
        <w:rPr>
          <w:rFonts w:cs="Calibri"/>
          <w:szCs w:val="22"/>
          <w:lang w:val="fo-FO"/>
        </w:rPr>
        <w:t>.</w:t>
      </w:r>
    </w:p>
    <w:p w14:paraId="33BFC9BB" w14:textId="77777777" w:rsidR="003D0899" w:rsidRPr="00F043AA" w:rsidRDefault="003D0899" w:rsidP="00F02B1B">
      <w:pPr>
        <w:jc w:val="both"/>
        <w:rPr>
          <w:rStyle w:val="Hyperlink"/>
          <w:rFonts w:cs="Calibri"/>
          <w:szCs w:val="22"/>
          <w:lang w:val="fo-FO"/>
        </w:rPr>
      </w:pPr>
    </w:p>
    <w:p w14:paraId="747316A1" w14:textId="1EE5BBE2" w:rsidR="00AE623C" w:rsidRPr="00F043AA" w:rsidRDefault="00AE623C" w:rsidP="00F02B1B">
      <w:pPr>
        <w:jc w:val="both"/>
        <w:rPr>
          <w:rFonts w:cs="Calibri"/>
          <w:szCs w:val="22"/>
          <w:lang w:val="fo-FO"/>
        </w:rPr>
      </w:pPr>
      <w:r w:rsidRPr="00F043AA">
        <w:rPr>
          <w:rFonts w:cs="Calibri"/>
          <w:szCs w:val="22"/>
          <w:lang w:val="fo-FO"/>
        </w:rPr>
        <w:t xml:space="preserve">Ynskir ein møguligur tilboðsgevari ein </w:t>
      </w:r>
      <w:r w:rsidR="00F00D43" w:rsidRPr="00F043AA">
        <w:rPr>
          <w:rFonts w:cs="Calibri"/>
          <w:szCs w:val="22"/>
          <w:lang w:val="fo-FO"/>
        </w:rPr>
        <w:t>spurnafund</w:t>
      </w:r>
      <w:r w:rsidRPr="00F043AA">
        <w:rPr>
          <w:rFonts w:cs="Calibri"/>
          <w:szCs w:val="22"/>
          <w:lang w:val="fo-FO"/>
        </w:rPr>
        <w:t xml:space="preserve">, so eru vit á SHV sinnaði til tess. </w:t>
      </w:r>
    </w:p>
    <w:p w14:paraId="0E101371" w14:textId="77FBAC80" w:rsidR="00B357F0" w:rsidRPr="00F043AA" w:rsidRDefault="00B357F0" w:rsidP="00F02B1B">
      <w:pPr>
        <w:jc w:val="both"/>
        <w:rPr>
          <w:rFonts w:cs="Calibri"/>
          <w:b/>
          <w:lang w:val="fo-FO"/>
        </w:rPr>
      </w:pPr>
    </w:p>
    <w:p w14:paraId="09A7CA04" w14:textId="77777777" w:rsidR="0093132B" w:rsidRPr="00F043AA" w:rsidRDefault="0093132B" w:rsidP="005D0023">
      <w:pPr>
        <w:pStyle w:val="Heading2"/>
      </w:pPr>
      <w:bookmarkStart w:id="16" w:name="_Toc83903551"/>
      <w:bookmarkStart w:id="17" w:name="_Toc117497599"/>
      <w:r w:rsidRPr="00F043AA">
        <w:t>Úrslit av útboð kunngjørt</w:t>
      </w:r>
      <w:bookmarkEnd w:id="16"/>
      <w:bookmarkEnd w:id="17"/>
    </w:p>
    <w:p w14:paraId="04FDA92A" w14:textId="2B1CB405" w:rsidR="0093132B" w:rsidRPr="00F043AA" w:rsidRDefault="0093132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Úrslitið verður kunngjørt á Keypsportalinum </w:t>
      </w:r>
      <w:r w:rsidR="007E1607" w:rsidRPr="00F043AA">
        <w:rPr>
          <w:rFonts w:cs="Calibri"/>
          <w:szCs w:val="18"/>
          <w:lang w:val="fo-FO"/>
        </w:rPr>
        <w:t xml:space="preserve">hjá Gjaldstovuni, </w:t>
      </w:r>
      <w:r w:rsidRPr="00F043AA">
        <w:rPr>
          <w:rFonts w:cs="Calibri"/>
          <w:szCs w:val="18"/>
          <w:lang w:val="fo-FO"/>
        </w:rPr>
        <w:t xml:space="preserve">og </w:t>
      </w:r>
      <w:r w:rsidR="007E1607" w:rsidRPr="00F043AA">
        <w:rPr>
          <w:rFonts w:cs="Calibri"/>
          <w:szCs w:val="18"/>
          <w:lang w:val="fo-FO"/>
        </w:rPr>
        <w:t xml:space="preserve">verður eisini </w:t>
      </w:r>
      <w:r w:rsidRPr="00F043AA">
        <w:rPr>
          <w:rFonts w:cs="Calibri"/>
          <w:szCs w:val="18"/>
          <w:lang w:val="fo-FO"/>
        </w:rPr>
        <w:t xml:space="preserve">sent øllum tilboðsgevarum umvegis teldupost. </w:t>
      </w:r>
      <w:r w:rsidR="007E1607" w:rsidRPr="00F043AA">
        <w:rPr>
          <w:rFonts w:cs="Calibri"/>
          <w:szCs w:val="18"/>
          <w:lang w:val="fo-FO"/>
        </w:rPr>
        <w:t>Ú</w:t>
      </w:r>
      <w:r w:rsidRPr="00F043AA">
        <w:rPr>
          <w:rFonts w:cs="Calibri"/>
          <w:szCs w:val="18"/>
          <w:lang w:val="fo-FO"/>
        </w:rPr>
        <w:t>tboðið er ikki endaligt</w:t>
      </w:r>
      <w:r w:rsidR="00384E28" w:rsidRPr="00F043AA">
        <w:rPr>
          <w:rFonts w:cs="Calibri"/>
          <w:szCs w:val="18"/>
          <w:lang w:val="fo-FO"/>
        </w:rPr>
        <w:t>,</w:t>
      </w:r>
      <w:r w:rsidRPr="00F043AA">
        <w:rPr>
          <w:rFonts w:cs="Calibri"/>
          <w:szCs w:val="18"/>
          <w:lang w:val="fo-FO"/>
        </w:rPr>
        <w:t xml:space="preserve"> fyrr enn báðir partar hava skrivað undir rammusáttmálan. </w:t>
      </w:r>
    </w:p>
    <w:p w14:paraId="0D15B040" w14:textId="14174392" w:rsidR="0093132B" w:rsidRPr="00F043AA" w:rsidRDefault="0093132B" w:rsidP="00F02B1B">
      <w:pPr>
        <w:jc w:val="both"/>
        <w:rPr>
          <w:rFonts w:cs="Calibri"/>
          <w:b/>
          <w:lang w:val="fo-FO"/>
        </w:rPr>
      </w:pPr>
    </w:p>
    <w:p w14:paraId="75717290" w14:textId="71BC0506" w:rsidR="00AA42EF" w:rsidRPr="00F043AA" w:rsidRDefault="0093132B" w:rsidP="00FA36AE">
      <w:pPr>
        <w:pStyle w:val="Heading1"/>
      </w:pPr>
      <w:bookmarkStart w:id="18" w:name="_Toc117497600"/>
      <w:r w:rsidRPr="00F043AA">
        <w:t>Alment</w:t>
      </w:r>
      <w:bookmarkEnd w:id="18"/>
    </w:p>
    <w:p w14:paraId="1A7B0704" w14:textId="77777777" w:rsidR="00AA42EF" w:rsidRPr="00F043AA" w:rsidRDefault="00AA42EF" w:rsidP="005D0023">
      <w:pPr>
        <w:pStyle w:val="Heading2"/>
      </w:pPr>
      <w:bookmarkStart w:id="19" w:name="_Toc83903553"/>
      <w:bookmarkStart w:id="20" w:name="_Toc117497601"/>
      <w:r w:rsidRPr="00F043AA">
        <w:t>Fyrivarni</w:t>
      </w:r>
      <w:bookmarkEnd w:id="19"/>
      <w:bookmarkEnd w:id="20"/>
    </w:p>
    <w:p w14:paraId="7CC8F79F" w14:textId="1DEE0FDC" w:rsidR="00AA42EF" w:rsidRPr="00F043AA" w:rsidRDefault="00AA42EF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Tann, ið letur inn tilboð eigur at hugsa um fyrivarni í mun til útboðstilfarið. Eitthvørt fyrivarni </w:t>
      </w:r>
      <w:r w:rsidR="00384E28" w:rsidRPr="00F043AA">
        <w:rPr>
          <w:rFonts w:cs="Calibri"/>
          <w:szCs w:val="18"/>
          <w:lang w:val="fo-FO"/>
        </w:rPr>
        <w:t xml:space="preserve">hevur við sær, </w:t>
      </w:r>
      <w:r w:rsidRPr="00F043AA">
        <w:rPr>
          <w:rFonts w:cs="Calibri"/>
          <w:szCs w:val="18"/>
          <w:lang w:val="fo-FO"/>
        </w:rPr>
        <w:t xml:space="preserve">at </w:t>
      </w:r>
      <w:r w:rsidR="0093132B" w:rsidRPr="00F043AA">
        <w:rPr>
          <w:rFonts w:cs="Calibri"/>
          <w:szCs w:val="18"/>
          <w:lang w:val="fo-FO"/>
        </w:rPr>
        <w:t>SHV</w:t>
      </w:r>
      <w:r w:rsidRPr="00F043AA">
        <w:rPr>
          <w:rFonts w:cs="Calibri"/>
          <w:szCs w:val="18"/>
          <w:lang w:val="fo-FO"/>
        </w:rPr>
        <w:t xml:space="preserve"> kann vísa burtur innlatið tilboð.</w:t>
      </w:r>
    </w:p>
    <w:p w14:paraId="311DECB0" w14:textId="77777777" w:rsidR="0093132B" w:rsidRPr="00F043AA" w:rsidRDefault="0093132B" w:rsidP="00F02B1B">
      <w:pPr>
        <w:jc w:val="both"/>
        <w:rPr>
          <w:rFonts w:cs="Calibri"/>
          <w:szCs w:val="18"/>
          <w:lang w:val="fo-FO"/>
        </w:rPr>
      </w:pPr>
    </w:p>
    <w:p w14:paraId="0DDBC492" w14:textId="25E9D99F" w:rsidR="00AA42EF" w:rsidRPr="00F043AA" w:rsidRDefault="0093132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SHV</w:t>
      </w:r>
      <w:r w:rsidR="00AA42EF" w:rsidRPr="00F043AA">
        <w:rPr>
          <w:rFonts w:cs="Calibri"/>
          <w:szCs w:val="18"/>
          <w:lang w:val="fo-FO"/>
        </w:rPr>
        <w:t xml:space="preserve"> tilskilar sær rætt til ikki at taka av nøkrum av innkomnu </w:t>
      </w:r>
      <w:r w:rsidR="00384E28" w:rsidRPr="00F043AA">
        <w:rPr>
          <w:rFonts w:cs="Calibri"/>
          <w:szCs w:val="18"/>
          <w:lang w:val="fo-FO"/>
        </w:rPr>
        <w:t>tilboðunum</w:t>
      </w:r>
      <w:r w:rsidR="00AA42EF" w:rsidRPr="00F043AA">
        <w:rPr>
          <w:rFonts w:cs="Calibri"/>
          <w:szCs w:val="18"/>
          <w:lang w:val="fo-FO"/>
        </w:rPr>
        <w:t xml:space="preserve">. </w:t>
      </w:r>
      <w:r w:rsidRPr="00F043AA">
        <w:rPr>
          <w:rFonts w:cs="Calibri"/>
          <w:szCs w:val="18"/>
          <w:lang w:val="fo-FO"/>
        </w:rPr>
        <w:t>SHV</w:t>
      </w:r>
      <w:r w:rsidR="00AA42EF" w:rsidRPr="00F043AA">
        <w:rPr>
          <w:rFonts w:cs="Calibri"/>
          <w:szCs w:val="18"/>
          <w:lang w:val="fo-FO"/>
        </w:rPr>
        <w:t xml:space="preserve"> tilskilar sær </w:t>
      </w:r>
      <w:r w:rsidR="007E1607" w:rsidRPr="00F043AA">
        <w:rPr>
          <w:rFonts w:cs="Calibri"/>
          <w:szCs w:val="18"/>
          <w:lang w:val="fo-FO"/>
        </w:rPr>
        <w:t xml:space="preserve">eisini </w:t>
      </w:r>
      <w:r w:rsidR="00AA42EF" w:rsidRPr="00F043AA">
        <w:rPr>
          <w:rFonts w:cs="Calibri"/>
          <w:szCs w:val="18"/>
          <w:lang w:val="fo-FO"/>
        </w:rPr>
        <w:t>rætt til at havna einum tilboð</w:t>
      </w:r>
      <w:r w:rsidR="00384E28" w:rsidRPr="00F043AA">
        <w:rPr>
          <w:rFonts w:cs="Calibri"/>
          <w:szCs w:val="18"/>
          <w:lang w:val="fo-FO"/>
        </w:rPr>
        <w:t>i</w:t>
      </w:r>
      <w:r w:rsidR="00AA42EF" w:rsidRPr="00F043AA">
        <w:rPr>
          <w:rFonts w:cs="Calibri"/>
          <w:szCs w:val="18"/>
          <w:lang w:val="fo-FO"/>
        </w:rPr>
        <w:t>, um vøran, ið verður bjóða</w:t>
      </w:r>
      <w:r w:rsidR="00384E28" w:rsidRPr="00F043AA">
        <w:rPr>
          <w:rFonts w:cs="Calibri"/>
          <w:szCs w:val="18"/>
          <w:lang w:val="fo-FO"/>
        </w:rPr>
        <w:t>ð</w:t>
      </w:r>
      <w:r w:rsidR="00AA42EF" w:rsidRPr="00F043AA">
        <w:rPr>
          <w:rFonts w:cs="Calibri"/>
          <w:szCs w:val="18"/>
          <w:lang w:val="fo-FO"/>
        </w:rPr>
        <w:t xml:space="preserve"> fram, er uttan fyri rímiligt mark, tá talan er um góðsku</w:t>
      </w:r>
      <w:r w:rsidRPr="00F043AA">
        <w:rPr>
          <w:rFonts w:cs="Calibri"/>
          <w:szCs w:val="18"/>
          <w:lang w:val="fo-FO"/>
        </w:rPr>
        <w:t xml:space="preserve"> ella prís</w:t>
      </w:r>
      <w:r w:rsidR="00AA42EF" w:rsidRPr="00F043AA">
        <w:rPr>
          <w:rFonts w:cs="Calibri"/>
          <w:szCs w:val="18"/>
          <w:lang w:val="fo-FO"/>
        </w:rPr>
        <w:t>.</w:t>
      </w:r>
    </w:p>
    <w:p w14:paraId="703F924C" w14:textId="77777777" w:rsidR="0093132B" w:rsidRPr="00F043AA" w:rsidRDefault="0093132B" w:rsidP="00F02B1B">
      <w:pPr>
        <w:jc w:val="both"/>
        <w:rPr>
          <w:rFonts w:cs="Calibri"/>
          <w:szCs w:val="18"/>
          <w:lang w:val="fo-FO"/>
        </w:rPr>
      </w:pPr>
    </w:p>
    <w:p w14:paraId="4310C8E4" w14:textId="6A7F1ADF" w:rsidR="00AA42EF" w:rsidRPr="00F043AA" w:rsidRDefault="00AA42EF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Fæst ikki ein sáttmáli við ein veitara, tilskilar </w:t>
      </w:r>
      <w:r w:rsidR="0093132B" w:rsidRPr="00F043AA">
        <w:rPr>
          <w:rFonts w:cs="Calibri"/>
          <w:szCs w:val="18"/>
          <w:lang w:val="fo-FO"/>
        </w:rPr>
        <w:t>SHV</w:t>
      </w:r>
      <w:r w:rsidRPr="00F043AA">
        <w:rPr>
          <w:rFonts w:cs="Calibri"/>
          <w:szCs w:val="18"/>
          <w:lang w:val="fo-FO"/>
        </w:rPr>
        <w:t xml:space="preserve"> sær rættin til at býta vørubólkarnar upp í fleiri partar, og samráðast víðari við einstakar tilboðsgevarar við støði í innkomnu tilboðunum. </w:t>
      </w:r>
    </w:p>
    <w:p w14:paraId="75F7A0FA" w14:textId="77777777" w:rsidR="00AA42EF" w:rsidRPr="00F043AA" w:rsidRDefault="00AA42EF" w:rsidP="00F02B1B">
      <w:pPr>
        <w:jc w:val="both"/>
        <w:rPr>
          <w:rFonts w:cs="Calibri"/>
          <w:lang w:val="fo-FO"/>
        </w:rPr>
      </w:pPr>
    </w:p>
    <w:p w14:paraId="37E781F8" w14:textId="77777777" w:rsidR="00AA42EF" w:rsidRPr="00F043AA" w:rsidRDefault="00AA42EF" w:rsidP="005D0023">
      <w:pPr>
        <w:pStyle w:val="Heading2"/>
      </w:pPr>
      <w:bookmarkStart w:id="21" w:name="_Toc83903554"/>
      <w:bookmarkStart w:id="22" w:name="_Toc117497602"/>
      <w:r w:rsidRPr="00F043AA">
        <w:t>Alment innlit</w:t>
      </w:r>
      <w:bookmarkEnd w:id="21"/>
      <w:bookmarkEnd w:id="22"/>
    </w:p>
    <w:p w14:paraId="4771D758" w14:textId="7B3DA7AC" w:rsidR="00AA42EF" w:rsidRPr="00F043AA" w:rsidRDefault="0093132B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Tilboðsgevari skal </w:t>
      </w:r>
      <w:r w:rsidR="00AA42EF" w:rsidRPr="00F043AA">
        <w:rPr>
          <w:rFonts w:cs="Calibri"/>
          <w:szCs w:val="18"/>
          <w:lang w:val="fo-FO"/>
        </w:rPr>
        <w:t xml:space="preserve">vera varur við, at </w:t>
      </w:r>
      <w:r w:rsidRPr="00F043AA">
        <w:rPr>
          <w:rFonts w:cs="Calibri"/>
          <w:szCs w:val="18"/>
          <w:lang w:val="fo-FO"/>
        </w:rPr>
        <w:t>SHV</w:t>
      </w:r>
      <w:r w:rsidR="00AA42EF" w:rsidRPr="00F043AA">
        <w:rPr>
          <w:rFonts w:cs="Calibri"/>
          <w:szCs w:val="18"/>
          <w:lang w:val="fo-FO"/>
        </w:rPr>
        <w:t xml:space="preserve"> er fevn</w:t>
      </w:r>
      <w:r w:rsidRPr="00F043AA">
        <w:rPr>
          <w:rFonts w:cs="Calibri"/>
          <w:szCs w:val="18"/>
          <w:lang w:val="fo-FO"/>
        </w:rPr>
        <w:t>t</w:t>
      </w:r>
      <w:r w:rsidR="00AA42EF" w:rsidRPr="00F043AA">
        <w:rPr>
          <w:rFonts w:cs="Calibri"/>
          <w:szCs w:val="18"/>
          <w:lang w:val="fo-FO"/>
        </w:rPr>
        <w:t xml:space="preserve"> av lóg um alment innlit: “</w:t>
      </w:r>
      <w:r w:rsidR="00AA42EF" w:rsidRPr="00F043AA">
        <w:rPr>
          <w:rFonts w:cs="Calibri"/>
          <w:i/>
          <w:iCs/>
          <w:szCs w:val="18"/>
          <w:lang w:val="fo-FO"/>
        </w:rPr>
        <w:t>Løgtingslóg nr. 133 frá 10. juni 1993 um innlit í fyrisitingina</w:t>
      </w:r>
      <w:r w:rsidR="00AA42EF" w:rsidRPr="00F043AA">
        <w:rPr>
          <w:rFonts w:cs="Calibri"/>
          <w:szCs w:val="18"/>
          <w:lang w:val="fo-FO"/>
        </w:rPr>
        <w:t>”</w:t>
      </w:r>
      <w:r w:rsidRPr="00F043AA">
        <w:rPr>
          <w:rFonts w:cs="Calibri"/>
          <w:szCs w:val="18"/>
          <w:lang w:val="fo-FO"/>
        </w:rPr>
        <w:t>.</w:t>
      </w:r>
    </w:p>
    <w:p w14:paraId="755F130C" w14:textId="77777777" w:rsidR="00AA42EF" w:rsidRPr="00F043AA" w:rsidRDefault="00AA42EF" w:rsidP="00F02B1B">
      <w:pPr>
        <w:jc w:val="both"/>
        <w:rPr>
          <w:rFonts w:cs="Calibri"/>
          <w:lang w:val="fo-FO"/>
        </w:rPr>
      </w:pPr>
    </w:p>
    <w:p w14:paraId="5B6AA985" w14:textId="77777777" w:rsidR="00AA42EF" w:rsidRPr="00F043AA" w:rsidRDefault="00AA42EF" w:rsidP="005D0023">
      <w:pPr>
        <w:pStyle w:val="Heading2"/>
      </w:pPr>
      <w:bookmarkStart w:id="23" w:name="_Toc83903555"/>
      <w:bookmarkStart w:id="24" w:name="_Toc117497603"/>
      <w:r w:rsidRPr="00F043AA">
        <w:t>Ogn og viðstøða</w:t>
      </w:r>
      <w:bookmarkEnd w:id="23"/>
      <w:bookmarkEnd w:id="24"/>
    </w:p>
    <w:p w14:paraId="25F63E64" w14:textId="56065523" w:rsidR="00AA42EF" w:rsidRPr="00F043AA" w:rsidRDefault="00AA42EF" w:rsidP="00F02B1B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Øll innlatin tilboð við fylgiskjølum eru ogn hjá </w:t>
      </w:r>
      <w:r w:rsidR="0093132B" w:rsidRPr="00F043AA">
        <w:rPr>
          <w:rFonts w:cs="Calibri"/>
          <w:szCs w:val="18"/>
          <w:lang w:val="fo-FO"/>
        </w:rPr>
        <w:t>SHV</w:t>
      </w:r>
      <w:r w:rsidRPr="00F043AA">
        <w:rPr>
          <w:rFonts w:cs="Calibri"/>
          <w:szCs w:val="18"/>
          <w:lang w:val="fo-FO"/>
        </w:rPr>
        <w:t xml:space="preserve">, og verða ikki send aftur til tilboðsgevara.  </w:t>
      </w:r>
    </w:p>
    <w:p w14:paraId="468AE564" w14:textId="77777777" w:rsidR="0093132B" w:rsidRPr="00F043AA" w:rsidRDefault="0093132B" w:rsidP="00F02B1B">
      <w:pPr>
        <w:jc w:val="both"/>
        <w:rPr>
          <w:rFonts w:cs="Calibri"/>
          <w:szCs w:val="18"/>
          <w:lang w:val="fo-FO"/>
        </w:rPr>
      </w:pPr>
    </w:p>
    <w:p w14:paraId="7F85E606" w14:textId="74556839" w:rsidR="007329B1" w:rsidRPr="00F043AA" w:rsidRDefault="00AA42EF" w:rsidP="00090F48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 xml:space="preserve">Innlatin tilboð skulu standa við í 6 mðr. eftir at tilboðsfreistin er farin. </w:t>
      </w:r>
    </w:p>
    <w:p w14:paraId="0B8C364A" w14:textId="1D0B77CC" w:rsidR="00090F48" w:rsidRPr="00F043AA" w:rsidRDefault="00090F48" w:rsidP="00090F48">
      <w:pPr>
        <w:jc w:val="both"/>
        <w:rPr>
          <w:rFonts w:cs="Calibri"/>
          <w:szCs w:val="18"/>
          <w:lang w:val="fo-FO"/>
        </w:rPr>
      </w:pPr>
    </w:p>
    <w:p w14:paraId="5BFF8874" w14:textId="75229E95" w:rsidR="00090F48" w:rsidRPr="00F043AA" w:rsidRDefault="00090F48" w:rsidP="00090F48">
      <w:pPr>
        <w:jc w:val="both"/>
        <w:rPr>
          <w:rFonts w:cs="Calibri"/>
          <w:szCs w:val="18"/>
          <w:lang w:val="fo-FO"/>
        </w:rPr>
      </w:pPr>
    </w:p>
    <w:p w14:paraId="4C2AAF2B" w14:textId="0DCE703D" w:rsidR="00090F48" w:rsidRPr="00F043AA" w:rsidRDefault="00090F48" w:rsidP="00090F48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Vegna Sjúkrahúsverkið</w:t>
      </w:r>
      <w:r w:rsidR="00F043AA" w:rsidRPr="00F043AA">
        <w:rPr>
          <w:rFonts w:cs="Calibri"/>
          <w:szCs w:val="18"/>
          <w:lang w:val="fo-FO"/>
        </w:rPr>
        <w:t>,</w:t>
      </w:r>
    </w:p>
    <w:p w14:paraId="0E7D4F1A" w14:textId="5B19750D" w:rsidR="00090F48" w:rsidRPr="00F043AA" w:rsidRDefault="00090F48" w:rsidP="00090F48">
      <w:pPr>
        <w:jc w:val="both"/>
        <w:rPr>
          <w:rFonts w:cs="Calibri"/>
          <w:szCs w:val="18"/>
          <w:lang w:val="fo-FO"/>
        </w:rPr>
      </w:pPr>
      <w:r w:rsidRPr="00F043AA">
        <w:rPr>
          <w:rFonts w:cs="Calibri"/>
          <w:szCs w:val="18"/>
          <w:lang w:val="fo-FO"/>
        </w:rPr>
        <w:t>Annfinn Thomsen</w:t>
      </w:r>
    </w:p>
    <w:p w14:paraId="4ED65F1A" w14:textId="77777777" w:rsidR="007329B1" w:rsidRPr="00F043AA" w:rsidRDefault="007329B1" w:rsidP="00CE0067">
      <w:pPr>
        <w:pStyle w:val="Starvsheiti"/>
        <w:rPr>
          <w:rFonts w:cs="Calibri"/>
          <w:lang w:val="fo-FO"/>
        </w:rPr>
      </w:pPr>
    </w:p>
    <w:sectPr w:rsidR="007329B1" w:rsidRPr="00F043AA" w:rsidSect="006409BE">
      <w:headerReference w:type="default" r:id="rId16"/>
      <w:headerReference w:type="first" r:id="rId17"/>
      <w:pgSz w:w="11906" w:h="16838"/>
      <w:pgMar w:top="2495" w:right="624" w:bottom="1418" w:left="1134" w:header="255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CFA6" w14:textId="77777777" w:rsidR="001521F4" w:rsidRDefault="001521F4" w:rsidP="0006634C">
      <w:r>
        <w:separator/>
      </w:r>
    </w:p>
  </w:endnote>
  <w:endnote w:type="continuationSeparator" w:id="0">
    <w:p w14:paraId="71F0B980" w14:textId="77777777" w:rsidR="001521F4" w:rsidRDefault="001521F4" w:rsidP="000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859" w14:textId="77777777" w:rsidR="001521F4" w:rsidRDefault="001521F4" w:rsidP="0006634C">
      <w:r>
        <w:separator/>
      </w:r>
    </w:p>
  </w:footnote>
  <w:footnote w:type="continuationSeparator" w:id="0">
    <w:p w14:paraId="0059661D" w14:textId="77777777" w:rsidR="001521F4" w:rsidRDefault="001521F4" w:rsidP="0006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31B3" w14:textId="77777777" w:rsidR="00142A85" w:rsidRDefault="00CA77A7" w:rsidP="00142A85">
    <w:pPr>
      <w:pStyle w:val="Header"/>
      <w:spacing w:line="276" w:lineRule="aut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D4D025" wp14:editId="2F421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794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7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FBC" w14:textId="77777777" w:rsidR="000808CD" w:rsidRDefault="000808CD" w:rsidP="000808CD">
    <w:pPr>
      <w:pStyle w:val="Header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6CE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06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29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E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6C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6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2C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E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FEC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D3BD2"/>
    <w:multiLevelType w:val="hybridMultilevel"/>
    <w:tmpl w:val="F30CD81E"/>
    <w:lvl w:ilvl="0" w:tplc="032C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769B"/>
    <w:multiLevelType w:val="hybridMultilevel"/>
    <w:tmpl w:val="D3DE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7C4E"/>
    <w:multiLevelType w:val="multilevel"/>
    <w:tmpl w:val="0809001D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864088"/>
    <w:multiLevelType w:val="hybridMultilevel"/>
    <w:tmpl w:val="D770846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67C5"/>
    <w:multiLevelType w:val="hybridMultilevel"/>
    <w:tmpl w:val="DF28A8C6"/>
    <w:lvl w:ilvl="0" w:tplc="D9FC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D22EE"/>
    <w:multiLevelType w:val="hybridMultilevel"/>
    <w:tmpl w:val="94D0924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38731">
    <w:abstractNumId w:val="12"/>
  </w:num>
  <w:num w:numId="2" w16cid:durableId="1133132146">
    <w:abstractNumId w:val="0"/>
  </w:num>
  <w:num w:numId="3" w16cid:durableId="1909683820">
    <w:abstractNumId w:val="1"/>
  </w:num>
  <w:num w:numId="4" w16cid:durableId="1655454257">
    <w:abstractNumId w:val="2"/>
  </w:num>
  <w:num w:numId="5" w16cid:durableId="1050377275">
    <w:abstractNumId w:val="3"/>
  </w:num>
  <w:num w:numId="6" w16cid:durableId="1258059468">
    <w:abstractNumId w:val="8"/>
  </w:num>
  <w:num w:numId="7" w16cid:durableId="313414819">
    <w:abstractNumId w:val="4"/>
  </w:num>
  <w:num w:numId="8" w16cid:durableId="2110003425">
    <w:abstractNumId w:val="5"/>
  </w:num>
  <w:num w:numId="9" w16cid:durableId="786972927">
    <w:abstractNumId w:val="6"/>
  </w:num>
  <w:num w:numId="10" w16cid:durableId="1286237077">
    <w:abstractNumId w:val="7"/>
  </w:num>
  <w:num w:numId="11" w16cid:durableId="616840479">
    <w:abstractNumId w:val="9"/>
  </w:num>
  <w:num w:numId="12" w16cid:durableId="707728412">
    <w:abstractNumId w:val="15"/>
  </w:num>
  <w:num w:numId="13" w16cid:durableId="533930754">
    <w:abstractNumId w:val="13"/>
  </w:num>
  <w:num w:numId="14" w16cid:durableId="946694946">
    <w:abstractNumId w:val="11"/>
  </w:num>
  <w:num w:numId="15" w16cid:durableId="966083875">
    <w:abstractNumId w:val="10"/>
  </w:num>
  <w:num w:numId="16" w16cid:durableId="1016737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85"/>
    <w:rsid w:val="0002658E"/>
    <w:rsid w:val="0006634C"/>
    <w:rsid w:val="0007579B"/>
    <w:rsid w:val="000808CD"/>
    <w:rsid w:val="00090F48"/>
    <w:rsid w:val="000A648C"/>
    <w:rsid w:val="000A7B87"/>
    <w:rsid w:val="000C6998"/>
    <w:rsid w:val="000D663D"/>
    <w:rsid w:val="000D6895"/>
    <w:rsid w:val="000E1BC2"/>
    <w:rsid w:val="000E32FB"/>
    <w:rsid w:val="00115C09"/>
    <w:rsid w:val="00123818"/>
    <w:rsid w:val="00142A85"/>
    <w:rsid w:val="001521F4"/>
    <w:rsid w:val="0016065F"/>
    <w:rsid w:val="00160ACB"/>
    <w:rsid w:val="001776FB"/>
    <w:rsid w:val="001912AD"/>
    <w:rsid w:val="001B2E94"/>
    <w:rsid w:val="001B3F6D"/>
    <w:rsid w:val="001B40C9"/>
    <w:rsid w:val="001E4C1E"/>
    <w:rsid w:val="00224945"/>
    <w:rsid w:val="00275FC3"/>
    <w:rsid w:val="002875A5"/>
    <w:rsid w:val="00287FD8"/>
    <w:rsid w:val="00294485"/>
    <w:rsid w:val="003106BE"/>
    <w:rsid w:val="003350A3"/>
    <w:rsid w:val="0035424E"/>
    <w:rsid w:val="00357F60"/>
    <w:rsid w:val="00360B41"/>
    <w:rsid w:val="0036660F"/>
    <w:rsid w:val="00384E28"/>
    <w:rsid w:val="00384EB5"/>
    <w:rsid w:val="00384F45"/>
    <w:rsid w:val="00393731"/>
    <w:rsid w:val="0039610E"/>
    <w:rsid w:val="003C23FA"/>
    <w:rsid w:val="003D0899"/>
    <w:rsid w:val="00405654"/>
    <w:rsid w:val="004058BD"/>
    <w:rsid w:val="004113DB"/>
    <w:rsid w:val="00426A7C"/>
    <w:rsid w:val="0045451E"/>
    <w:rsid w:val="004C3060"/>
    <w:rsid w:val="005267CD"/>
    <w:rsid w:val="00587420"/>
    <w:rsid w:val="0059757E"/>
    <w:rsid w:val="005D0023"/>
    <w:rsid w:val="005D33AD"/>
    <w:rsid w:val="006409BE"/>
    <w:rsid w:val="00687ED2"/>
    <w:rsid w:val="006B3471"/>
    <w:rsid w:val="006C1A21"/>
    <w:rsid w:val="00725926"/>
    <w:rsid w:val="007329B1"/>
    <w:rsid w:val="007348D9"/>
    <w:rsid w:val="00750950"/>
    <w:rsid w:val="00756FBD"/>
    <w:rsid w:val="0078363C"/>
    <w:rsid w:val="00790C0D"/>
    <w:rsid w:val="007C7149"/>
    <w:rsid w:val="007D5FA1"/>
    <w:rsid w:val="007E1607"/>
    <w:rsid w:val="00814279"/>
    <w:rsid w:val="0093132B"/>
    <w:rsid w:val="009A52D1"/>
    <w:rsid w:val="009B1B25"/>
    <w:rsid w:val="009D1FF0"/>
    <w:rsid w:val="009D48A5"/>
    <w:rsid w:val="009D72CD"/>
    <w:rsid w:val="009E0581"/>
    <w:rsid w:val="009F061F"/>
    <w:rsid w:val="009F315D"/>
    <w:rsid w:val="00A02EFB"/>
    <w:rsid w:val="00A24D93"/>
    <w:rsid w:val="00A2529F"/>
    <w:rsid w:val="00A746A7"/>
    <w:rsid w:val="00AA3392"/>
    <w:rsid w:val="00AA42EF"/>
    <w:rsid w:val="00AD1554"/>
    <w:rsid w:val="00AD6F91"/>
    <w:rsid w:val="00AE623C"/>
    <w:rsid w:val="00B03EA9"/>
    <w:rsid w:val="00B11FC9"/>
    <w:rsid w:val="00B223A9"/>
    <w:rsid w:val="00B357F0"/>
    <w:rsid w:val="00B406A6"/>
    <w:rsid w:val="00B46375"/>
    <w:rsid w:val="00B55BAB"/>
    <w:rsid w:val="00B65191"/>
    <w:rsid w:val="00B77E0E"/>
    <w:rsid w:val="00B84FC1"/>
    <w:rsid w:val="00BB4FC7"/>
    <w:rsid w:val="00BC19D0"/>
    <w:rsid w:val="00BD27B5"/>
    <w:rsid w:val="00BE0BF7"/>
    <w:rsid w:val="00BF2FAB"/>
    <w:rsid w:val="00C00E92"/>
    <w:rsid w:val="00C03DAC"/>
    <w:rsid w:val="00C62146"/>
    <w:rsid w:val="00C75A75"/>
    <w:rsid w:val="00C9449B"/>
    <w:rsid w:val="00C95517"/>
    <w:rsid w:val="00CA77A7"/>
    <w:rsid w:val="00CE0067"/>
    <w:rsid w:val="00D23972"/>
    <w:rsid w:val="00D421C3"/>
    <w:rsid w:val="00D6375F"/>
    <w:rsid w:val="00DB1F78"/>
    <w:rsid w:val="00DE429E"/>
    <w:rsid w:val="00DE7899"/>
    <w:rsid w:val="00E15A82"/>
    <w:rsid w:val="00E364B3"/>
    <w:rsid w:val="00E468A5"/>
    <w:rsid w:val="00E50203"/>
    <w:rsid w:val="00E632F1"/>
    <w:rsid w:val="00E86BDA"/>
    <w:rsid w:val="00E93FE9"/>
    <w:rsid w:val="00EC3148"/>
    <w:rsid w:val="00ED1E61"/>
    <w:rsid w:val="00ED3704"/>
    <w:rsid w:val="00EF6E80"/>
    <w:rsid w:val="00F00D43"/>
    <w:rsid w:val="00F02B1B"/>
    <w:rsid w:val="00F043AA"/>
    <w:rsid w:val="00F10347"/>
    <w:rsid w:val="00F22E33"/>
    <w:rsid w:val="00F4575A"/>
    <w:rsid w:val="00F51032"/>
    <w:rsid w:val="00F63E27"/>
    <w:rsid w:val="00F73026"/>
    <w:rsid w:val="00F90F10"/>
    <w:rsid w:val="00F93090"/>
    <w:rsid w:val="00FA36AE"/>
    <w:rsid w:val="00FB04DA"/>
    <w:rsid w:val="00FB2B5F"/>
    <w:rsid w:val="00FE35FB"/>
    <w:rsid w:val="00FE5F0B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8AB9F"/>
  <w15:chartTrackingRefBased/>
  <w15:docId w15:val="{D08C4049-E92D-474C-BD2E-75BCF1AE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A5"/>
    <w:rPr>
      <w:rFonts w:ascii="Calibri" w:eastAsia="Times New Roman" w:hAnsi="Calibri" w:cs="Times New Roman"/>
      <w:sz w:val="22"/>
      <w:szCs w:val="20"/>
      <w:lang w:eastAsia="da-DK"/>
    </w:rPr>
  </w:style>
  <w:style w:type="paragraph" w:styleId="Heading1">
    <w:name w:val="heading 1"/>
    <w:aliases w:val="Yvirskrift"/>
    <w:basedOn w:val="Normal"/>
    <w:next w:val="Normal"/>
    <w:link w:val="Heading1Char"/>
    <w:autoRedefine/>
    <w:uiPriority w:val="9"/>
    <w:qFormat/>
    <w:rsid w:val="005D0023"/>
    <w:pPr>
      <w:keepNext/>
      <w:keepLines/>
      <w:spacing w:before="120"/>
      <w:jc w:val="both"/>
      <w:outlineLvl w:val="0"/>
    </w:pPr>
    <w:rPr>
      <w:rFonts w:eastAsiaTheme="majorEastAsia" w:cs="Calibri"/>
      <w:b/>
      <w:bCs/>
      <w:color w:val="000000" w:themeColor="text1"/>
      <w:sz w:val="28"/>
      <w:szCs w:val="24"/>
      <w:lang w:val="fo-FO"/>
    </w:rPr>
  </w:style>
  <w:style w:type="paragraph" w:styleId="Heading2">
    <w:name w:val="heading 2"/>
    <w:aliases w:val="Innleiðing"/>
    <w:basedOn w:val="Normal"/>
    <w:next w:val="Normal"/>
    <w:link w:val="Heading2Char"/>
    <w:autoRedefine/>
    <w:uiPriority w:val="9"/>
    <w:unhideWhenUsed/>
    <w:qFormat/>
    <w:rsid w:val="005D0023"/>
    <w:pPr>
      <w:keepNext/>
      <w:keepLines/>
      <w:spacing w:before="40"/>
      <w:jc w:val="both"/>
      <w:outlineLvl w:val="1"/>
    </w:pPr>
    <w:rPr>
      <w:rFonts w:eastAsiaTheme="majorEastAsia" w:cs="Calibri"/>
      <w:color w:val="000000" w:themeColor="text1"/>
      <w:szCs w:val="22"/>
      <w:lang w:val="fo-F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A4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36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Yvirskrift Char"/>
    <w:basedOn w:val="DefaultParagraphFont"/>
    <w:link w:val="Heading1"/>
    <w:uiPriority w:val="9"/>
    <w:rsid w:val="005D0023"/>
    <w:rPr>
      <w:rFonts w:ascii="Calibri" w:eastAsiaTheme="majorEastAsia" w:hAnsi="Calibri" w:cs="Calibri"/>
      <w:b/>
      <w:bCs/>
      <w:color w:val="000000" w:themeColor="text1"/>
      <w:sz w:val="28"/>
      <w:lang w:val="fo-FO" w:eastAsia="da-DK"/>
    </w:rPr>
  </w:style>
  <w:style w:type="character" w:customStyle="1" w:styleId="Heading2Char">
    <w:name w:val="Heading 2 Char"/>
    <w:aliases w:val="Innleiðing Char"/>
    <w:basedOn w:val="DefaultParagraphFont"/>
    <w:link w:val="Heading2"/>
    <w:uiPriority w:val="9"/>
    <w:rsid w:val="005D0023"/>
    <w:rPr>
      <w:rFonts w:ascii="Calibri" w:eastAsiaTheme="majorEastAsia" w:hAnsi="Calibri" w:cs="Calibri"/>
      <w:color w:val="000000" w:themeColor="text1"/>
      <w:szCs w:val="22"/>
      <w:lang w:val="fo-FO" w:eastAsia="da-DK"/>
    </w:rPr>
  </w:style>
  <w:style w:type="paragraph" w:styleId="ListParagraph">
    <w:name w:val="List Paragraph"/>
    <w:basedOn w:val="Normal"/>
    <w:autoRedefine/>
    <w:uiPriority w:val="34"/>
    <w:qFormat/>
    <w:rsid w:val="00790C0D"/>
    <w:pPr>
      <w:numPr>
        <w:numId w:val="1"/>
      </w:numPr>
      <w:spacing w:before="480"/>
      <w:contextualSpacing/>
    </w:pPr>
  </w:style>
  <w:style w:type="paragraph" w:customStyle="1" w:styleId="Avsendari">
    <w:name w:val="Avsendari"/>
    <w:aliases w:val="navn"/>
    <w:basedOn w:val="Normal"/>
    <w:autoRedefine/>
    <w:qFormat/>
    <w:rsid w:val="00A746A7"/>
    <w:rPr>
      <w:b/>
      <w:bCs/>
      <w:szCs w:val="22"/>
    </w:rPr>
  </w:style>
  <w:style w:type="paragraph" w:customStyle="1" w:styleId="Starvsheiti">
    <w:name w:val="Starvsheiti"/>
    <w:basedOn w:val="BodyText"/>
    <w:autoRedefine/>
    <w:qFormat/>
    <w:rsid w:val="00CE0067"/>
    <w:pPr>
      <w:spacing w:after="0" w:line="276" w:lineRule="auto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B4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FC7"/>
    <w:rPr>
      <w:rFonts w:ascii="Acumin Pro" w:hAnsi="Acumin Pro"/>
      <w:sz w:val="20"/>
      <w:szCs w:val="18"/>
      <w:lang w:val="fo-FO"/>
    </w:rPr>
  </w:style>
  <w:style w:type="paragraph" w:styleId="Header">
    <w:name w:val="header"/>
    <w:basedOn w:val="Normal"/>
    <w:link w:val="HeaderChar"/>
    <w:uiPriority w:val="99"/>
    <w:unhideWhenUsed/>
    <w:rsid w:val="00066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4C"/>
    <w:rPr>
      <w:rFonts w:ascii="Acumin Pro" w:hAnsi="Acumin Pro"/>
      <w:sz w:val="20"/>
      <w:szCs w:val="18"/>
      <w:lang w:val="fo-FO"/>
    </w:rPr>
  </w:style>
  <w:style w:type="paragraph" w:styleId="Footer">
    <w:name w:val="footer"/>
    <w:basedOn w:val="Normal"/>
    <w:link w:val="FooterChar"/>
    <w:uiPriority w:val="99"/>
    <w:unhideWhenUsed/>
    <w:rsid w:val="00066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4C"/>
    <w:rPr>
      <w:rFonts w:ascii="Acumin Pro" w:hAnsi="Acumin Pro"/>
      <w:sz w:val="20"/>
      <w:szCs w:val="18"/>
      <w:lang w:val="fo-FO"/>
    </w:rPr>
  </w:style>
  <w:style w:type="character" w:styleId="Hyperlink">
    <w:name w:val="Hyperlink"/>
    <w:basedOn w:val="DefaultParagraphFont"/>
    <w:uiPriority w:val="99"/>
    <w:unhideWhenUsed/>
    <w:rsid w:val="00E364B3"/>
    <w:rPr>
      <w:color w:val="DF54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B3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B223A9"/>
    <w:rPr>
      <w:color w:val="0A363A" w:themeColor="accent3" w:themeShade="BF"/>
      <w:sz w:val="22"/>
      <w:szCs w:val="22"/>
      <w:lang w:val="fo-FO"/>
    </w:rPr>
    <w:tblPr>
      <w:tblStyleRowBandSize w:val="1"/>
      <w:tblStyleColBandSize w:val="1"/>
      <w:tblBorders>
        <w:top w:val="single" w:sz="4" w:space="0" w:color="2AC8D9" w:themeColor="accent3" w:themeTint="99"/>
        <w:left w:val="single" w:sz="4" w:space="0" w:color="2AC8D9" w:themeColor="accent3" w:themeTint="99"/>
        <w:bottom w:val="single" w:sz="4" w:space="0" w:color="2AC8D9" w:themeColor="accent3" w:themeTint="99"/>
        <w:right w:val="single" w:sz="4" w:space="0" w:color="2AC8D9" w:themeColor="accent3" w:themeTint="99"/>
        <w:insideH w:val="single" w:sz="4" w:space="0" w:color="2AC8D9" w:themeColor="accent3" w:themeTint="99"/>
        <w:insideV w:val="single" w:sz="4" w:space="0" w:color="2AC8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C8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8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CF2" w:themeFill="accent3" w:themeFillTint="33"/>
      </w:tcPr>
    </w:tblStylePr>
    <w:tblStylePr w:type="band1Horz">
      <w:tblPr/>
      <w:tcPr>
        <w:shd w:val="clear" w:color="auto" w:fill="B7ECF2" w:themeFill="accent3" w:themeFillTint="33"/>
      </w:tcPr>
    </w:tblStylePr>
  </w:style>
  <w:style w:type="paragraph" w:styleId="NoSpacing">
    <w:name w:val="No Spacing"/>
    <w:link w:val="NoSpacingChar"/>
    <w:uiPriority w:val="1"/>
    <w:qFormat/>
    <w:rsid w:val="006409BE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09BE"/>
    <w:rPr>
      <w:rFonts w:eastAsiaTheme="minorEastAsia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0F10"/>
    <w:pPr>
      <w:spacing w:before="240" w:line="259" w:lineRule="auto"/>
      <w:outlineLvl w:val="9"/>
    </w:pPr>
    <w:rPr>
      <w:b w:val="0"/>
      <w:bCs w:val="0"/>
      <w:color w:val="004A5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90F10"/>
    <w:pPr>
      <w:spacing w:after="100"/>
    </w:pPr>
  </w:style>
  <w:style w:type="paragraph" w:customStyle="1" w:styleId="Default">
    <w:name w:val="Default"/>
    <w:rsid w:val="0072592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table" w:styleId="TableGrid">
    <w:name w:val="Table Grid"/>
    <w:basedOn w:val="TableNormal"/>
    <w:uiPriority w:val="39"/>
    <w:rsid w:val="006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C1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C1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1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C1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6C1A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D6F91"/>
    <w:pPr>
      <w:spacing w:after="100"/>
      <w:ind w:left="240"/>
    </w:pPr>
  </w:style>
  <w:style w:type="table" w:styleId="ListTable4-Accent2">
    <w:name w:val="List Table 4 Accent 2"/>
    <w:basedOn w:val="TableNormal"/>
    <w:uiPriority w:val="49"/>
    <w:rsid w:val="009F315D"/>
    <w:tblPr>
      <w:tblStyleRowBandSize w:val="1"/>
      <w:tblStyleColBandSize w:val="1"/>
      <w:tblBorders>
        <w:top w:val="single" w:sz="4" w:space="0" w:color="B4D2CE" w:themeColor="accent2" w:themeTint="99"/>
        <w:left w:val="single" w:sz="4" w:space="0" w:color="B4D2CE" w:themeColor="accent2" w:themeTint="99"/>
        <w:bottom w:val="single" w:sz="4" w:space="0" w:color="B4D2CE" w:themeColor="accent2" w:themeTint="99"/>
        <w:right w:val="single" w:sz="4" w:space="0" w:color="B4D2CE" w:themeColor="accent2" w:themeTint="99"/>
        <w:insideH w:val="single" w:sz="4" w:space="0" w:color="B4D2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5AF" w:themeColor="accent2"/>
          <w:left w:val="single" w:sz="4" w:space="0" w:color="83B5AF" w:themeColor="accent2"/>
          <w:bottom w:val="single" w:sz="4" w:space="0" w:color="83B5AF" w:themeColor="accent2"/>
          <w:right w:val="single" w:sz="4" w:space="0" w:color="83B5AF" w:themeColor="accent2"/>
          <w:insideH w:val="nil"/>
        </w:tcBorders>
        <w:shd w:val="clear" w:color="auto" w:fill="83B5AF" w:themeFill="accent2"/>
      </w:tcPr>
    </w:tblStylePr>
    <w:tblStylePr w:type="lastRow">
      <w:rPr>
        <w:b/>
        <w:bCs/>
      </w:rPr>
      <w:tblPr/>
      <w:tcPr>
        <w:tcBorders>
          <w:top w:val="double" w:sz="4" w:space="0" w:color="B4D2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0EF" w:themeFill="accent2" w:themeFillTint="33"/>
      </w:tcPr>
    </w:tblStylePr>
    <w:tblStylePr w:type="band1Horz">
      <w:tblPr/>
      <w:tcPr>
        <w:shd w:val="clear" w:color="auto" w:fill="E6F0E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A42EF"/>
    <w:rPr>
      <w:rFonts w:asciiTheme="majorHAnsi" w:eastAsiaTheme="majorEastAsia" w:hAnsiTheme="majorHAnsi" w:cstheme="majorBidi"/>
      <w:color w:val="003136" w:themeColor="accent1" w:themeShade="7F"/>
      <w:lang w:eastAsia="da-DK"/>
    </w:rPr>
  </w:style>
  <w:style w:type="paragraph" w:styleId="Revision">
    <w:name w:val="Revision"/>
    <w:hidden/>
    <w:uiPriority w:val="99"/>
    <w:semiHidden/>
    <w:rsid w:val="006B3471"/>
    <w:rPr>
      <w:rFonts w:ascii="Times New Roman" w:eastAsia="Times New Roman" w:hAnsi="Times New Roman" w:cs="Times New Roman"/>
      <w:szCs w:val="20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B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4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47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7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finn.thomsen@ls.f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finn.thomsen@ls.f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finn.thomsen@ls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10300\AppData\Roaming\Microsoft\Templates\Br&#230;v%20LS.dotx" TargetMode="External"/></Relationships>
</file>

<file path=word/theme/theme1.xml><?xml version="1.0" encoding="utf-8"?>
<a:theme xmlns:a="http://schemas.openxmlformats.org/drawingml/2006/main" name="Powerpoint_Sjukrahusverkid_Theme">
  <a:themeElements>
    <a:clrScheme name="Sjukrahusverkid">
      <a:dk1>
        <a:srgbClr val="000000"/>
      </a:dk1>
      <a:lt1>
        <a:srgbClr val="FFFFFF"/>
      </a:lt1>
      <a:dk2>
        <a:srgbClr val="1E3454"/>
      </a:dk2>
      <a:lt2>
        <a:srgbClr val="D1E9E1"/>
      </a:lt2>
      <a:accent1>
        <a:srgbClr val="00646D"/>
      </a:accent1>
      <a:accent2>
        <a:srgbClr val="83B5AF"/>
      </a:accent2>
      <a:accent3>
        <a:srgbClr val="0E494F"/>
      </a:accent3>
      <a:accent4>
        <a:srgbClr val="E95460"/>
      </a:accent4>
      <a:accent5>
        <a:srgbClr val="E07C66"/>
      </a:accent5>
      <a:accent6>
        <a:srgbClr val="F7E5BB"/>
      </a:accent6>
      <a:hlink>
        <a:srgbClr val="DF5460"/>
      </a:hlink>
      <a:folHlink>
        <a:srgbClr val="EFC2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werpoint_Sjukrahusverkid_Theme" id="{1C03B8B4-4FCA-C440-9C70-0566156D6511}" vid="{341F465C-6EE0-D947-AC2A-6532EC11E4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6e1d95-aa86-4094-97df-e9c3848551b8">4EVQEMKVJHXM-1098782999-6</_dlc_DocId>
    <_dlc_DocIdUrl xmlns="e76e1d95-aa86-4094-97df-e9c3848551b8">
      <Url>https://heimabeitid.heilsunet.fo/projekter/Okkara samleiki/_layouts/15/DocIdRedir.aspx?ID=4EVQEMKVJHXM-1098782999-6</Url>
      <Description>4EVQEMKVJHXM-1098782999-6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367935D4C20488BB7E4C53F9A7714" ma:contentTypeVersion="0" ma:contentTypeDescription="Opret et nyt dokument." ma:contentTypeScope="" ma:versionID="f302b4286b7aba7eae2d3961e6ca0dea">
  <xsd:schema xmlns:xsd="http://www.w3.org/2001/XMLSchema" xmlns:xs="http://www.w3.org/2001/XMLSchema" xmlns:p="http://schemas.microsoft.com/office/2006/metadata/properties" xmlns:ns2="e76e1d95-aa86-4094-97df-e9c3848551b8" targetNamespace="http://schemas.microsoft.com/office/2006/metadata/properties" ma:root="true" ma:fieldsID="33c801a56aae92ff788340ff08331826" ns2:_="">
    <xsd:import namespace="e76e1d95-aa86-4094-97df-e9c3848551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1d95-aa86-4094-97df-e9c384855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04CE89-CFB9-42BE-87AD-1B43CBF49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51120-323E-4C4E-93EA-744421286295}">
  <ds:schemaRefs>
    <ds:schemaRef ds:uri="http://schemas.microsoft.com/office/2006/metadata/properties"/>
    <ds:schemaRef ds:uri="http://schemas.microsoft.com/office/infopath/2007/PartnerControls"/>
    <ds:schemaRef ds:uri="e76e1d95-aa86-4094-97df-e9c3848551b8"/>
  </ds:schemaRefs>
</ds:datastoreItem>
</file>

<file path=customXml/itemProps3.xml><?xml version="1.0" encoding="utf-8"?>
<ds:datastoreItem xmlns:ds="http://schemas.openxmlformats.org/officeDocument/2006/customXml" ds:itemID="{24BB5355-82ED-4BAF-B137-362BE272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e1d95-aa86-4094-97df-e9c38485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E32A2-45F0-C44E-9F33-5A582FA059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25023-CD12-4024-A4E1-2BB67D7CFB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LS.dotx</Template>
  <TotalTime>52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Útboð</vt:lpstr>
      <vt:lpstr>Útboð</vt:lpstr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Útboð</dc:title>
  <dc:subject>KT útgerð til Sjúkrahúsverkið</dc:subject>
  <dc:creator>Annfinn Thomsen</dc:creator>
  <cp:keywords/>
  <dc:description/>
  <cp:lastModifiedBy>Annfinn Thomsen</cp:lastModifiedBy>
  <cp:revision>10</cp:revision>
  <dcterms:created xsi:type="dcterms:W3CDTF">2022-09-01T11:45:00Z</dcterms:created>
  <dcterms:modified xsi:type="dcterms:W3CDTF">2022-10-24T09:03:00Z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0x010100202367935D4C20488BB7E4C53F9A7714</vt:lpwstr>
  </property>
  <property fmtid="{D5CDD505-2E9C-101B-9397-08002B2CF9AE}" pid="3" name="_dlc_DocIdItemGuid">
    <vt:lpwstr>59ad3a8c-2c78-4f0a-95a0-0915e34c86ec</vt:lpwstr>
  </property>
</Properties>
</file>